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……………………………………………….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F04DD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Medical first aid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F04DD0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F04DD0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F04DD0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Not applicable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F04DD0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36A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F04DD0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F04DD0" w:rsidP="00F04DD0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3C37B4" w:rsidRDefault="00F04DD0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F36A3C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F04DD0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F04DD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F04DD0">
              <w:rPr>
                <w:rFonts w:ascii="Calibri Light" w:hAnsi="Calibri Light"/>
                <w:lang w:val="en-US"/>
              </w:rPr>
              <w:t>X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F04DD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04DD0">
              <w:rPr>
                <w:rFonts w:ascii="Calibri Light" w:hAnsi="Calibri Light"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  <w:r w:rsidR="00F04DD0">
              <w:rPr>
                <w:rFonts w:ascii="Calibri Light" w:hAnsi="Calibri Light"/>
                <w:b/>
                <w:lang w:val="en-US"/>
              </w:rPr>
              <w:t>: 25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F04DD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Chair and Department of Anaesthesiology and Intensive Therapy</w:t>
            </w: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F04DD0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F04DD0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  <w:r w:rsidR="00F04DD0">
              <w:rPr>
                <w:rFonts w:ascii="Calibri Light" w:hAnsi="Calibri Light"/>
                <w:b/>
                <w:lang w:val="en-US"/>
              </w:rPr>
              <w:t xml:space="preserve">: </w:t>
            </w:r>
            <w:r w:rsidR="00F04DD0">
              <w:rPr>
                <w:rFonts w:ascii="Calibri Light" w:hAnsi="Calibri Light" w:cs="Calibri Light"/>
                <w:b/>
                <w:lang w:val="en-US"/>
              </w:rPr>
              <w:t>not applicable</w:t>
            </w:r>
            <w:r w:rsidR="00F04DD0">
              <w:rPr>
                <w:rFonts w:ascii="Calibri Light" w:hAnsi="Calibri Light" w:cs="Times"/>
                <w:lang w:val="en-US"/>
              </w:rPr>
              <w:t>.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04DD0">
              <w:rPr>
                <w:rFonts w:ascii="Calibri Light" w:hAnsi="Calibri Light"/>
                <w:b/>
                <w:lang w:val="en-US"/>
              </w:rPr>
              <w:t xml:space="preserve"> 30</w:t>
            </w:r>
          </w:p>
        </w:tc>
      </w:tr>
      <w:tr w:rsidR="00BD1099" w:rsidRPr="00F36A3C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F04DD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Chair and Department of Anaesthesiology and Intensive Therapy</w:t>
            </w: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(max. 6 </w:t>
            </w:r>
            <w:r w:rsidRPr="003C37B4">
              <w:rPr>
                <w:rFonts w:ascii="Calibri Light" w:hAnsi="Calibri Light"/>
                <w:lang w:val="en-US"/>
              </w:rPr>
              <w:t>items</w:t>
            </w:r>
            <w:r w:rsidR="00EF0D47" w:rsidRPr="003C37B4">
              <w:rPr>
                <w:rFonts w:ascii="Calibri Light" w:hAnsi="Calibri Light"/>
                <w:lang w:val="en-US"/>
              </w:rPr>
              <w:t>)</w:t>
            </w:r>
          </w:p>
          <w:p w:rsidR="00F04DD0" w:rsidRPr="00F04DD0" w:rsidRDefault="00EF0D47" w:rsidP="00F04DD0">
            <w:pPr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 w:rsidRPr="00F04DD0">
              <w:rPr>
                <w:rFonts w:ascii="Calibri Light" w:hAnsi="Calibri Light"/>
                <w:lang w:val="en-US"/>
              </w:rPr>
              <w:t xml:space="preserve">C1. </w:t>
            </w:r>
            <w:r w:rsidR="00F04DD0" w:rsidRPr="00F04DD0">
              <w:rPr>
                <w:rFonts w:ascii="Arial" w:hAnsi="Arial" w:cs="Arial"/>
                <w:color w:val="222222"/>
                <w:lang w:val="en"/>
              </w:rPr>
              <w:t>Objectives of teaching the subject:</w:t>
            </w:r>
          </w:p>
          <w:p w:rsidR="00F04DD0" w:rsidRPr="00F04DD0" w:rsidRDefault="00F04DD0" w:rsidP="00F04DD0">
            <w:pPr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 w:rsidRPr="00F04DD0">
              <w:rPr>
                <w:rFonts w:ascii="Arial" w:hAnsi="Arial" w:cs="Arial"/>
                <w:color w:val="222222"/>
                <w:lang w:val="en"/>
              </w:rPr>
              <w:t>C2. Deepening knowledge about first aid.</w:t>
            </w:r>
          </w:p>
          <w:p w:rsidR="00F04DD0" w:rsidRPr="00F04DD0" w:rsidRDefault="00F04DD0" w:rsidP="00F04DD0">
            <w:pPr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 w:rsidRPr="00F04DD0">
              <w:rPr>
                <w:rFonts w:ascii="Arial" w:hAnsi="Arial" w:cs="Arial"/>
                <w:color w:val="222222"/>
                <w:lang w:val="en"/>
              </w:rPr>
              <w:t>C3. Preparing the student to perform the cardiopulmonary resuscitation independently</w:t>
            </w:r>
          </w:p>
          <w:p w:rsidR="00F04DD0" w:rsidRPr="00F04DD0" w:rsidRDefault="00F04DD0" w:rsidP="00F04DD0">
            <w:pPr>
              <w:spacing w:after="0" w:line="240" w:lineRule="auto"/>
              <w:rPr>
                <w:rFonts w:ascii="Arial" w:hAnsi="Arial" w:cs="Arial"/>
                <w:color w:val="222222"/>
                <w:lang w:val="en"/>
              </w:rPr>
            </w:pPr>
            <w:r w:rsidRPr="00F04DD0">
              <w:rPr>
                <w:rFonts w:ascii="Arial" w:hAnsi="Arial" w:cs="Arial"/>
                <w:color w:val="222222"/>
                <w:lang w:val="en"/>
              </w:rPr>
              <w:t>C4. Preparing the student for first aid in a life-threatening condition.</w:t>
            </w:r>
          </w:p>
          <w:p w:rsidR="00EF0D47" w:rsidRPr="00F04DD0" w:rsidRDefault="00F04DD0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04DD0">
              <w:rPr>
                <w:rFonts w:ascii="Arial" w:hAnsi="Arial" w:cs="Arial"/>
                <w:color w:val="222222"/>
                <w:lang w:val="en"/>
              </w:rPr>
              <w:t>C5. Preparing the student to perform basic nursing procedures.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F36A3C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3252C1" w:rsidRDefault="00F04DD0" w:rsidP="00B20501">
            <w:pPr>
              <w:spacing w:after="0" w:line="240" w:lineRule="auto"/>
            </w:pPr>
            <w:r w:rsidRPr="003252C1">
              <w:t>W 01</w:t>
            </w:r>
          </w:p>
        </w:tc>
        <w:tc>
          <w:tcPr>
            <w:tcW w:w="1276" w:type="dxa"/>
            <w:gridSpan w:val="4"/>
          </w:tcPr>
          <w:p w:rsidR="00F04DD0" w:rsidRPr="003252C1" w:rsidRDefault="00F04DD0" w:rsidP="00B20501">
            <w:pPr>
              <w:spacing w:after="0" w:line="240" w:lineRule="auto"/>
            </w:pPr>
            <w:r w:rsidRPr="003252C1">
              <w:rPr>
                <w:color w:val="282828"/>
              </w:rPr>
              <w:t>E.W4.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lang w:val="en"/>
              </w:rPr>
              <w:t xml:space="preserve">knows the rules </w:t>
            </w:r>
            <w:r w:rsidRPr="003252C1">
              <w:rPr>
                <w:rStyle w:val="alt-edited1"/>
                <w:rFonts w:cs="Arial"/>
                <w:lang w:val="en"/>
              </w:rPr>
              <w:t>proceeding</w:t>
            </w:r>
            <w:r w:rsidRPr="003252C1">
              <w:rPr>
                <w:rFonts w:cs="Arial"/>
                <w:lang w:val="en"/>
              </w:rPr>
              <w:t xml:space="preserve"> to victims of </w:t>
            </w:r>
            <w:proofErr w:type="spellStart"/>
            <w:r w:rsidRPr="003252C1">
              <w:rPr>
                <w:rFonts w:cs="Arial"/>
                <w:lang w:val="en"/>
              </w:rPr>
              <w:t>polytrauma</w:t>
            </w:r>
            <w:proofErr w:type="spellEnd"/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Oral response/test</w:t>
            </w:r>
          </w:p>
        </w:tc>
        <w:tc>
          <w:tcPr>
            <w:tcW w:w="1417" w:type="dxa"/>
            <w:gridSpan w:val="4"/>
          </w:tcPr>
          <w:p w:rsidR="00F04DD0" w:rsidRPr="00854211" w:rsidRDefault="00F04DD0" w:rsidP="00B2050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SE/CSC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3252C1" w:rsidRDefault="00F04DD0" w:rsidP="00B20501">
            <w:pPr>
              <w:spacing w:after="0" w:line="240" w:lineRule="auto"/>
            </w:pPr>
            <w:r w:rsidRPr="003252C1">
              <w:t xml:space="preserve"> W 02</w:t>
            </w:r>
          </w:p>
        </w:tc>
        <w:tc>
          <w:tcPr>
            <w:tcW w:w="1276" w:type="dxa"/>
            <w:gridSpan w:val="4"/>
          </w:tcPr>
          <w:p w:rsidR="00F04DD0" w:rsidRPr="003252C1" w:rsidRDefault="00F04DD0" w:rsidP="00B20501">
            <w:pPr>
              <w:spacing w:after="0" w:line="240" w:lineRule="auto"/>
              <w:rPr>
                <w:color w:val="282828"/>
              </w:rPr>
            </w:pPr>
            <w:r w:rsidRPr="003252C1">
              <w:rPr>
                <w:color w:val="282828"/>
              </w:rPr>
              <w:t>E.W5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color w:val="222222"/>
                <w:lang w:val="en"/>
              </w:rPr>
              <w:t>knows the rules of the organization in disasters and breakdowns, the phases of the rescue operation a</w:t>
            </w:r>
            <w:r>
              <w:rPr>
                <w:rFonts w:cs="Arial"/>
                <w:color w:val="222222"/>
                <w:lang w:val="en"/>
              </w:rPr>
              <w:t>nd the scope of assistance need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3C2A09">
              <w:rPr>
                <w:lang w:val="en-US"/>
              </w:rPr>
              <w:t>SE/CSC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3252C1" w:rsidRDefault="00F04DD0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lang w:val="en-US"/>
              </w:rPr>
              <w:t>W 03</w:t>
            </w:r>
          </w:p>
        </w:tc>
        <w:tc>
          <w:tcPr>
            <w:tcW w:w="1276" w:type="dxa"/>
            <w:gridSpan w:val="4"/>
          </w:tcPr>
          <w:p w:rsidR="00F04DD0" w:rsidRPr="003252C1" w:rsidRDefault="00F04DD0" w:rsidP="00B20501">
            <w:pPr>
              <w:spacing w:after="0" w:line="240" w:lineRule="auto"/>
              <w:rPr>
                <w:lang w:val="en"/>
              </w:rPr>
            </w:pPr>
            <w:r w:rsidRPr="003252C1">
              <w:rPr>
                <w:color w:val="282828"/>
              </w:rPr>
              <w:t>E. W17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lang w:val="en-US"/>
              </w:rPr>
            </w:pPr>
            <w:r w:rsidRPr="003252C1">
              <w:rPr>
                <w:rFonts w:cs="Arial"/>
                <w:color w:val="222222"/>
                <w:lang w:val="en"/>
              </w:rPr>
              <w:t>knows the causes and mechanisms of cardiac arrest and respiratory and principles of resuscitation and management after resuscitation;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3C2A09">
              <w:rPr>
                <w:lang w:val="en-US"/>
              </w:rPr>
              <w:t>SE/CSC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3252C1" w:rsidRDefault="00F04DD0" w:rsidP="00B20501">
            <w:pPr>
              <w:spacing w:after="0" w:line="240" w:lineRule="auto"/>
              <w:rPr>
                <w:lang w:val="en-US"/>
              </w:rPr>
            </w:pPr>
            <w:r w:rsidRPr="003252C1">
              <w:t>W 04</w:t>
            </w:r>
          </w:p>
        </w:tc>
        <w:tc>
          <w:tcPr>
            <w:tcW w:w="1276" w:type="dxa"/>
            <w:gridSpan w:val="4"/>
          </w:tcPr>
          <w:p w:rsidR="00F04DD0" w:rsidRPr="003252C1" w:rsidRDefault="00F04DD0" w:rsidP="00B20501">
            <w:pPr>
              <w:spacing w:after="0" w:line="240" w:lineRule="auto"/>
              <w:rPr>
                <w:color w:val="282828"/>
              </w:rPr>
            </w:pPr>
            <w:r w:rsidRPr="003252C1">
              <w:rPr>
                <w:color w:val="282828"/>
              </w:rPr>
              <w:t>E.W18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3252C1">
              <w:rPr>
                <w:rStyle w:val="shorttext"/>
                <w:rFonts w:cs="Arial"/>
                <w:color w:val="222222"/>
                <w:lang w:val="en"/>
              </w:rPr>
              <w:t>knows the life-threatening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3C2A09">
              <w:rPr>
                <w:lang w:val="en-US"/>
              </w:rPr>
              <w:t>SE/CSC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0F2561" w:rsidRDefault="00F04DD0" w:rsidP="00B2050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W 05</w:t>
            </w:r>
          </w:p>
        </w:tc>
        <w:tc>
          <w:tcPr>
            <w:tcW w:w="1276" w:type="dxa"/>
            <w:gridSpan w:val="4"/>
          </w:tcPr>
          <w:p w:rsidR="00F04DD0" w:rsidRPr="000F2561" w:rsidRDefault="00F04DD0" w:rsidP="00B20501">
            <w:pPr>
              <w:spacing w:after="0" w:line="240" w:lineRule="auto"/>
              <w:rPr>
                <w:color w:val="282828"/>
                <w:lang w:val="en-GB"/>
              </w:rPr>
            </w:pPr>
            <w:r>
              <w:rPr>
                <w:color w:val="282828"/>
                <w:lang w:val="en-GB"/>
              </w:rPr>
              <w:t>E. W20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rStyle w:val="shorttext"/>
                <w:rFonts w:cs="Arial"/>
                <w:color w:val="222222"/>
                <w:lang w:val="en"/>
              </w:rPr>
            </w:pPr>
            <w:r w:rsidRPr="00821C39">
              <w:rPr>
                <w:rStyle w:val="shorttext"/>
                <w:rFonts w:cs="Arial"/>
                <w:color w:val="222222"/>
                <w:lang w:val="en"/>
              </w:rPr>
              <w:t>knows when to refer the patient to the hospital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3C2A09">
              <w:rPr>
                <w:lang w:val="en-US"/>
              </w:rPr>
              <w:t>SE/CSC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0F2561" w:rsidRDefault="00F04DD0" w:rsidP="00B20501">
            <w:pPr>
              <w:spacing w:after="0" w:line="240" w:lineRule="auto"/>
              <w:rPr>
                <w:lang w:val="en-GB"/>
              </w:rPr>
            </w:pPr>
            <w:r w:rsidRPr="000F2561">
              <w:rPr>
                <w:lang w:val="en-GB"/>
              </w:rPr>
              <w:t>U 01</w:t>
            </w:r>
          </w:p>
        </w:tc>
        <w:tc>
          <w:tcPr>
            <w:tcW w:w="1276" w:type="dxa"/>
            <w:gridSpan w:val="4"/>
          </w:tcPr>
          <w:p w:rsidR="00F04DD0" w:rsidRPr="000F2561" w:rsidRDefault="00F04DD0" w:rsidP="00B20501">
            <w:pPr>
              <w:spacing w:after="0" w:line="240" w:lineRule="auto"/>
              <w:rPr>
                <w:lang w:val="en-GB"/>
              </w:rPr>
            </w:pPr>
            <w:r w:rsidRPr="000F2561">
              <w:rPr>
                <w:lang w:val="en-GB"/>
              </w:rPr>
              <w:t>E. U8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3252C1">
              <w:rPr>
                <w:rStyle w:val="shorttext"/>
                <w:rFonts w:cs="Arial"/>
                <w:color w:val="222222"/>
                <w:lang w:val="en"/>
              </w:rPr>
              <w:t>recognizes the risk of life-threatening</w:t>
            </w:r>
            <w:r>
              <w:rPr>
                <w:rStyle w:val="shorttext"/>
                <w:rFonts w:cs="Arial"/>
                <w:color w:val="222222"/>
                <w:lang w:val="en"/>
              </w:rPr>
              <w:t xml:space="preserve"> conditions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EF2671">
              <w:rPr>
                <w:lang w:val="en-US"/>
              </w:rPr>
              <w:t>CSC</w:t>
            </w:r>
          </w:p>
        </w:tc>
      </w:tr>
      <w:tr w:rsidR="00F04DD0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0F2561" w:rsidRDefault="00F04DD0" w:rsidP="00B20501">
            <w:pPr>
              <w:spacing w:after="0" w:line="240" w:lineRule="auto"/>
              <w:rPr>
                <w:lang w:val="en-GB"/>
              </w:rPr>
            </w:pPr>
            <w:r w:rsidRPr="000F2561">
              <w:rPr>
                <w:lang w:val="en-GB"/>
              </w:rPr>
              <w:t>U 02</w:t>
            </w:r>
          </w:p>
        </w:tc>
        <w:tc>
          <w:tcPr>
            <w:tcW w:w="1276" w:type="dxa"/>
            <w:gridSpan w:val="4"/>
          </w:tcPr>
          <w:p w:rsidR="00F04DD0" w:rsidRPr="000F2561" w:rsidRDefault="00F04DD0" w:rsidP="00B20501">
            <w:pPr>
              <w:spacing w:after="0" w:line="240" w:lineRule="auto"/>
              <w:rPr>
                <w:lang w:val="en-GB"/>
              </w:rPr>
            </w:pPr>
            <w:r w:rsidRPr="000F2561">
              <w:rPr>
                <w:lang w:val="en-GB"/>
              </w:rPr>
              <w:t>E. U9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3252C1">
              <w:rPr>
                <w:rFonts w:cs="Arial"/>
                <w:color w:val="222222"/>
                <w:lang w:val="en"/>
              </w:rPr>
              <w:t>describes and recognizes the symptoms of shock and acute heart failure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EF2671">
              <w:rPr>
                <w:lang w:val="en-US"/>
              </w:rPr>
              <w:t>CSC</w:t>
            </w:r>
          </w:p>
        </w:tc>
      </w:tr>
      <w:tr w:rsidR="00F04DD0" w:rsidRPr="00F04DD0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04DD0" w:rsidRPr="000F2561" w:rsidRDefault="00F04DD0" w:rsidP="00B2050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 03</w:t>
            </w:r>
          </w:p>
        </w:tc>
        <w:tc>
          <w:tcPr>
            <w:tcW w:w="1276" w:type="dxa"/>
            <w:gridSpan w:val="4"/>
          </w:tcPr>
          <w:p w:rsidR="00F04DD0" w:rsidRPr="000F2561" w:rsidRDefault="00F04DD0" w:rsidP="00B20501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 U 20</w:t>
            </w:r>
          </w:p>
        </w:tc>
        <w:tc>
          <w:tcPr>
            <w:tcW w:w="3260" w:type="dxa"/>
            <w:gridSpan w:val="7"/>
          </w:tcPr>
          <w:p w:rsidR="00F04DD0" w:rsidRPr="003252C1" w:rsidRDefault="00F04DD0" w:rsidP="00B20501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>
              <w:rPr>
                <w:rFonts w:cs="Arial"/>
                <w:color w:val="222222"/>
                <w:lang w:val="en"/>
              </w:rPr>
              <w:t>performs basic procedures and medical procedures: temperature measurement, heart rate measurement, non-invasive blood measurement</w:t>
            </w:r>
          </w:p>
        </w:tc>
        <w:tc>
          <w:tcPr>
            <w:tcW w:w="1985" w:type="dxa"/>
            <w:gridSpan w:val="4"/>
          </w:tcPr>
          <w:p w:rsidR="00F04DD0" w:rsidRDefault="00F04DD0" w:rsidP="00B205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Oral response/test</w:t>
            </w:r>
          </w:p>
        </w:tc>
        <w:tc>
          <w:tcPr>
            <w:tcW w:w="1417" w:type="dxa"/>
            <w:gridSpan w:val="4"/>
          </w:tcPr>
          <w:p w:rsidR="00F04DD0" w:rsidRDefault="00F04DD0" w:rsidP="00B20501">
            <w:r w:rsidRPr="00EF2671">
              <w:rPr>
                <w:lang w:val="en-US"/>
              </w:rPr>
              <w:t>CSC</w:t>
            </w: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F04DD0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F04DD0" w:rsidRPr="003C37B4" w:rsidRDefault="00F04DD0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F04DD0" w:rsidRPr="003C37B4" w:rsidRDefault="00F04DD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5</w:t>
            </w:r>
          </w:p>
          <w:p w:rsidR="00F04DD0" w:rsidRPr="003C37B4" w:rsidRDefault="00F04DD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4</w:t>
            </w:r>
          </w:p>
          <w:p w:rsidR="00F04DD0" w:rsidRPr="003C37B4" w:rsidRDefault="00F04DD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4</w:t>
            </w:r>
          </w:p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F04DD0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4DD0" w:rsidRPr="003C37B4" w:rsidRDefault="00F04DD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F04DD0" w:rsidRPr="003C37B4" w:rsidRDefault="00F04DD0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04DD0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4DD0" w:rsidRPr="003C37B4" w:rsidRDefault="00F04DD0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F04DD0" w:rsidRPr="00F36A3C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04DD0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04DD0" w:rsidRPr="00F04DD0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F04DD0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F04DD0" w:rsidRPr="003C37B4" w:rsidRDefault="00F04DD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F04DD0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F04DD0" w:rsidRDefault="00F04DD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  <w:r>
              <w:rPr>
                <w:rFonts w:ascii="Calibri Light" w:hAnsi="Calibri Light"/>
                <w:b/>
                <w:lang w:val="en-US"/>
              </w:rPr>
              <w:t xml:space="preserve">: </w:t>
            </w:r>
            <w:r>
              <w:rPr>
                <w:rFonts w:ascii="Calibri Light" w:hAnsi="Calibri Light" w:cs="Calibri Light"/>
                <w:b/>
                <w:lang w:val="en-US"/>
              </w:rPr>
              <w:t>not applicable</w:t>
            </w:r>
            <w:r>
              <w:rPr>
                <w:rFonts w:ascii="Calibri Light" w:hAnsi="Calibri Light" w:cs="Times"/>
                <w:lang w:val="en-US"/>
              </w:rPr>
              <w:t>.</w:t>
            </w:r>
          </w:p>
        </w:tc>
      </w:tr>
      <w:tr w:rsidR="00F04DD0" w:rsidRPr="002465A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Seminars</w:t>
            </w:r>
            <w:r w:rsidR="002465AD">
              <w:rPr>
                <w:rFonts w:ascii="Calibri Light" w:hAnsi="Calibri Light" w:cs="Times"/>
                <w:b/>
                <w:lang w:val="en-US"/>
              </w:rPr>
              <w:t xml:space="preserve">: </w:t>
            </w:r>
          </w:p>
          <w:p w:rsidR="002465AD" w:rsidRPr="002465AD" w:rsidRDefault="002465AD" w:rsidP="002465AD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="Calibri Light"/>
                <w:lang w:val="en-US"/>
              </w:rPr>
            </w:pPr>
            <w:r w:rsidRPr="002465AD">
              <w:rPr>
                <w:rFonts w:ascii="Calibri Light" w:hAnsi="Calibri Light"/>
                <w:lang w:val="en-US"/>
              </w:rPr>
              <w:t>L</w:t>
            </w:r>
            <w:r w:rsidRPr="002465AD">
              <w:rPr>
                <w:rFonts w:cs="Calibri Light"/>
                <w:lang w:val="en-US"/>
              </w:rPr>
              <w:t xml:space="preserve">ife threating conditions. </w:t>
            </w:r>
          </w:p>
          <w:p w:rsidR="002465AD" w:rsidRPr="002465AD" w:rsidRDefault="002465AD" w:rsidP="002465AD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="Calibri Light"/>
                <w:lang w:val="en-US"/>
              </w:rPr>
            </w:pPr>
            <w:r w:rsidRPr="002465AD">
              <w:rPr>
                <w:rFonts w:cs="Calibri Light"/>
                <w:lang w:val="en-US"/>
              </w:rPr>
              <w:t>Cardiac arrest. Current European Guidelines-adults and pediatric.</w:t>
            </w:r>
          </w:p>
          <w:p w:rsidR="002465AD" w:rsidRPr="002465AD" w:rsidRDefault="002465AD" w:rsidP="002465AD">
            <w:pPr>
              <w:pStyle w:val="Akapitzlist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eastAsia="Times New Roman"/>
                <w:lang w:val="en-US" w:eastAsia="pl-PL"/>
              </w:rPr>
            </w:pPr>
            <w:r w:rsidRPr="002465AD">
              <w:rPr>
                <w:rFonts w:eastAsia="Times New Roman"/>
                <w:lang w:val="en-US" w:eastAsia="pl-PL"/>
              </w:rPr>
              <w:t>Shock –definition, recognition, treatment.</w:t>
            </w:r>
          </w:p>
          <w:p w:rsidR="002465AD" w:rsidRPr="002465AD" w:rsidRDefault="002465AD" w:rsidP="002465AD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 Light" w:hAnsi="Calibri Light"/>
                <w:lang w:val="en-US"/>
              </w:rPr>
            </w:pPr>
            <w:r w:rsidRPr="002465AD">
              <w:rPr>
                <w:rFonts w:eastAsia="Times New Roman"/>
                <w:lang w:val="en-US" w:eastAsia="pl-PL"/>
              </w:rPr>
              <w:t>Bleeding- diagnosis, management.</w:t>
            </w:r>
          </w:p>
          <w:p w:rsidR="00F04DD0" w:rsidRPr="003C37B4" w:rsidRDefault="002465AD" w:rsidP="002465AD">
            <w:pPr>
              <w:pStyle w:val="Akapitzlist"/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Calibri Light" w:hAnsi="Calibri Light"/>
                <w:b/>
                <w:bCs/>
                <w:lang w:val="en-US"/>
              </w:rPr>
            </w:pPr>
            <w:r w:rsidRPr="00F278C8">
              <w:rPr>
                <w:rFonts w:cs="Calibri Light"/>
                <w:lang w:val="en-US"/>
              </w:rPr>
              <w:t>The risk dental practice</w:t>
            </w:r>
            <w:r>
              <w:rPr>
                <w:rFonts w:cs="Calibri Light"/>
                <w:lang w:val="en-US"/>
              </w:rPr>
              <w:t>.</w:t>
            </w:r>
            <w:r w:rsidRPr="003C37B4">
              <w:rPr>
                <w:rFonts w:ascii="Calibri Light" w:hAnsi="Calibri Light"/>
                <w:b/>
                <w:bCs/>
                <w:lang w:val="en-US"/>
              </w:rPr>
              <w:t xml:space="preserve"> </w:t>
            </w:r>
          </w:p>
        </w:tc>
      </w:tr>
      <w:tr w:rsidR="00F04DD0" w:rsidRPr="002465A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</w:t>
            </w:r>
            <w:r w:rsidRPr="002B18F6">
              <w:rPr>
                <w:sz w:val="20"/>
                <w:szCs w:val="20"/>
                <w:lang w:val="en-US"/>
              </w:rPr>
              <w:t>cute life threatening conditions-definition. Organizing and providing first aid.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rFonts w:eastAsia="Times New Roman"/>
                <w:sz w:val="20"/>
                <w:szCs w:val="20"/>
                <w:lang w:val="en-US" w:eastAsia="pl-PL"/>
              </w:rPr>
            </w:pPr>
            <w:r w:rsidRPr="002B18F6">
              <w:rPr>
                <w:sz w:val="20"/>
                <w:szCs w:val="20"/>
                <w:lang w:val="en-US"/>
              </w:rPr>
              <w:t xml:space="preserve">Sudden cardiac arrest:  </w:t>
            </w:r>
            <w:r w:rsidRPr="002B18F6">
              <w:rPr>
                <w:rFonts w:eastAsia="Times New Roman"/>
                <w:sz w:val="20"/>
                <w:szCs w:val="20"/>
                <w:lang w:val="en-US" w:eastAsia="pl-PL"/>
              </w:rPr>
              <w:t>Adult basic life support and automated  external defibrillation.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 xml:space="preserve">Unconscious patient. </w:t>
            </w:r>
            <w:r>
              <w:rPr>
                <w:lang w:val="en"/>
              </w:rPr>
              <w:t>Causes of unconsciousness, diagnosis and management.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>Basic and advanced airway management.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cs="Times"/>
                <w:sz w:val="20"/>
                <w:szCs w:val="20"/>
                <w:lang w:val="en-US"/>
              </w:rPr>
              <w:t xml:space="preserve">Adult BLS sequence-phantoms </w:t>
            </w:r>
            <w:proofErr w:type="spellStart"/>
            <w:r w:rsidRPr="00866A5C">
              <w:rPr>
                <w:rFonts w:cs="Times"/>
                <w:sz w:val="20"/>
                <w:szCs w:val="20"/>
                <w:lang w:val="en-US"/>
              </w:rPr>
              <w:t>activitities</w:t>
            </w:r>
            <w:proofErr w:type="spellEnd"/>
            <w:r>
              <w:rPr>
                <w:rFonts w:cs="Times"/>
                <w:sz w:val="20"/>
                <w:szCs w:val="20"/>
                <w:lang w:val="en-US"/>
              </w:rPr>
              <w:t>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cs="Times"/>
                <w:sz w:val="20"/>
                <w:szCs w:val="20"/>
                <w:lang w:val="en-US"/>
              </w:rPr>
              <w:t xml:space="preserve">Adult BLS sequence-phantoms </w:t>
            </w:r>
            <w:proofErr w:type="spellStart"/>
            <w:r w:rsidRPr="00866A5C">
              <w:rPr>
                <w:rFonts w:cs="Times"/>
                <w:sz w:val="20"/>
                <w:szCs w:val="20"/>
                <w:lang w:val="en-US"/>
              </w:rPr>
              <w:t>activitities</w:t>
            </w:r>
            <w:proofErr w:type="spellEnd"/>
            <w:r w:rsidRPr="00866A5C">
              <w:rPr>
                <w:rFonts w:cs="Times"/>
                <w:sz w:val="20"/>
                <w:szCs w:val="20"/>
                <w:lang w:val="en-US"/>
              </w:rPr>
              <w:t>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>The use of automatic defibrillators (AED) and hospital defibrillators –exercises on phantoms.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sz w:val="20"/>
                <w:szCs w:val="20"/>
                <w:lang w:val="en-US"/>
              </w:rPr>
              <w:t xml:space="preserve">Sudden cardiac arrest: </w:t>
            </w:r>
            <w:proofErr w:type="spellStart"/>
            <w:r w:rsidRPr="00866A5C">
              <w:rPr>
                <w:sz w:val="20"/>
                <w:szCs w:val="20"/>
                <w:lang w:val="en-US"/>
              </w:rPr>
              <w:t>Peadiatric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 xml:space="preserve"> life </w:t>
            </w:r>
            <w:proofErr w:type="spellStart"/>
            <w:r w:rsidRPr="00866A5C">
              <w:rPr>
                <w:sz w:val="20"/>
                <w:szCs w:val="20"/>
                <w:lang w:val="en-US"/>
              </w:rPr>
              <w:t>suport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>.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66A5C">
              <w:rPr>
                <w:sz w:val="20"/>
                <w:szCs w:val="20"/>
                <w:lang w:val="en-US"/>
              </w:rPr>
              <w:t>Peadiatric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 xml:space="preserve"> BLS </w:t>
            </w:r>
            <w:proofErr w:type="spellStart"/>
            <w:r w:rsidRPr="00866A5C">
              <w:rPr>
                <w:sz w:val="20"/>
                <w:szCs w:val="20"/>
                <w:lang w:val="en-US"/>
              </w:rPr>
              <w:t>sequnce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 xml:space="preserve">-phantoms </w:t>
            </w:r>
            <w:proofErr w:type="spellStart"/>
            <w:r w:rsidRPr="00866A5C">
              <w:rPr>
                <w:sz w:val="20"/>
                <w:szCs w:val="20"/>
                <w:lang w:val="en-US"/>
              </w:rPr>
              <w:t>activitities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>.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866A5C">
              <w:rPr>
                <w:sz w:val="20"/>
                <w:szCs w:val="20"/>
                <w:lang w:val="en-US"/>
              </w:rPr>
              <w:t>Peadiatric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 xml:space="preserve"> BLS </w:t>
            </w:r>
            <w:proofErr w:type="spellStart"/>
            <w:r w:rsidRPr="00866A5C">
              <w:rPr>
                <w:sz w:val="20"/>
                <w:szCs w:val="20"/>
                <w:lang w:val="en-US"/>
              </w:rPr>
              <w:t>sequnce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 xml:space="preserve">-phantoms </w:t>
            </w:r>
            <w:proofErr w:type="spellStart"/>
            <w:r w:rsidRPr="00866A5C">
              <w:rPr>
                <w:sz w:val="20"/>
                <w:szCs w:val="20"/>
                <w:lang w:val="en-US"/>
              </w:rPr>
              <w:t>activitities</w:t>
            </w:r>
            <w:proofErr w:type="spellEnd"/>
            <w:r w:rsidRPr="00866A5C">
              <w:rPr>
                <w:sz w:val="20"/>
                <w:szCs w:val="20"/>
                <w:lang w:val="en-US"/>
              </w:rPr>
              <w:t>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Foreign body airway obstruction (choking).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2B18F6">
              <w:rPr>
                <w:sz w:val="20"/>
                <w:szCs w:val="20"/>
                <w:lang w:val="en-US"/>
              </w:rPr>
              <w:t xml:space="preserve">Management in case of external and </w:t>
            </w:r>
            <w:r>
              <w:rPr>
                <w:sz w:val="20"/>
                <w:szCs w:val="20"/>
                <w:lang w:val="en-US"/>
              </w:rPr>
              <w:t xml:space="preserve">internal </w:t>
            </w:r>
            <w:r w:rsidRPr="002B18F6">
              <w:rPr>
                <w:sz w:val="20"/>
                <w:szCs w:val="20"/>
                <w:lang w:val="en-US"/>
              </w:rPr>
              <w:t>bleeding, in superficial injuries, putting on dressings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2465AD" w:rsidRPr="002B18F6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Shock –definition, recognition, treatment</w:t>
            </w:r>
            <w:r>
              <w:rPr>
                <w:rFonts w:eastAsia="Times New Roman"/>
                <w:sz w:val="20"/>
                <w:szCs w:val="20"/>
                <w:lang w:val="en-US" w:eastAsia="pl-PL"/>
              </w:rPr>
              <w:t>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Soft tissues injuries –</w:t>
            </w:r>
            <w:proofErr w:type="spellStart"/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prehosptial</w:t>
            </w:r>
            <w:proofErr w:type="spellEnd"/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 xml:space="preserve"> first aid.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Injuries –head, thorax, abdominal cavity.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lang w:val="en"/>
              </w:rPr>
              <w:t>Bone fractures and joint damage - diagnosis, procedure, principles of immobilization of long bone fractures.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rStyle w:val="shorttext"/>
                <w:sz w:val="20"/>
                <w:szCs w:val="20"/>
                <w:lang w:val="en-US"/>
              </w:rPr>
            </w:pPr>
            <w:r>
              <w:rPr>
                <w:rStyle w:val="shorttext"/>
                <w:lang w:val="en"/>
              </w:rPr>
              <w:t>The position of the patient in various pathological conditions.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rStyle w:val="shorttext"/>
                <w:sz w:val="20"/>
                <w:szCs w:val="20"/>
                <w:lang w:val="en-US"/>
              </w:rPr>
            </w:pPr>
            <w:r>
              <w:rPr>
                <w:rStyle w:val="shorttext"/>
                <w:lang w:val="en"/>
              </w:rPr>
              <w:t>Thermal and chemical injuries.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lang w:val="en"/>
              </w:rPr>
              <w:t>Drowning, electric shock, hanging.</w:t>
            </w:r>
          </w:p>
          <w:p w:rsidR="002465AD" w:rsidRPr="003B5C3A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lang w:val="en"/>
              </w:rPr>
              <w:t>Poisonings - diagnosis, first aid, examples of antidotes.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CA4A9E">
              <w:rPr>
                <w:sz w:val="20"/>
                <w:szCs w:val="20"/>
                <w:lang w:val="en-US"/>
              </w:rPr>
              <w:t>Monitoring of vital functions -basic and advanced. The care for patient- basic rules (toilet, feeding).</w:t>
            </w:r>
          </w:p>
          <w:p w:rsidR="002465AD" w:rsidRPr="00CA4A9E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lang w:val="en"/>
              </w:rPr>
              <w:t>Injections - types of needles, preparation, precautions, types of injections (intradermal, subcutaneous, intramuscular, intravenous).</w:t>
            </w:r>
          </w:p>
          <w:p w:rsid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CA4A9E">
              <w:rPr>
                <w:sz w:val="20"/>
                <w:szCs w:val="20"/>
                <w:lang w:val="en-US"/>
              </w:rPr>
              <w:t xml:space="preserve">Intravenous infusions - solutions for infusions, preparation of drip infusion, intravenous catheters (cannulas), putting on the </w:t>
            </w:r>
            <w:proofErr w:type="spellStart"/>
            <w:r w:rsidRPr="00CA4A9E">
              <w:rPr>
                <w:sz w:val="20"/>
                <w:szCs w:val="20"/>
                <w:lang w:val="en-US"/>
              </w:rPr>
              <w:t>periferal</w:t>
            </w:r>
            <w:proofErr w:type="spellEnd"/>
            <w:r w:rsidRPr="00CA4A9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4A9E">
              <w:rPr>
                <w:sz w:val="20"/>
                <w:szCs w:val="20"/>
                <w:lang w:val="en-US"/>
              </w:rPr>
              <w:t>cathether</w:t>
            </w:r>
            <w:proofErr w:type="spellEnd"/>
            <w:r w:rsidRPr="00CA4A9E">
              <w:rPr>
                <w:sz w:val="20"/>
                <w:szCs w:val="20"/>
                <w:lang w:val="en-US"/>
              </w:rPr>
              <w:t xml:space="preserve">, care of the puncture site. The rules of </w:t>
            </w:r>
            <w:proofErr w:type="spellStart"/>
            <w:r w:rsidRPr="00CA4A9E">
              <w:rPr>
                <w:sz w:val="20"/>
                <w:szCs w:val="20"/>
                <w:lang w:val="en-US"/>
              </w:rPr>
              <w:t>catheterisation</w:t>
            </w:r>
            <w:proofErr w:type="spellEnd"/>
            <w:r w:rsidRPr="00CA4A9E">
              <w:rPr>
                <w:sz w:val="20"/>
                <w:szCs w:val="20"/>
                <w:lang w:val="en-US"/>
              </w:rPr>
              <w:t xml:space="preserve"> of the urinary bladder. The principles of extracting secretions from the respiratory tract in a patient with artificial respiratory tract.</w:t>
            </w:r>
          </w:p>
          <w:p w:rsidR="002465AD" w:rsidRP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OIT visit</w:t>
            </w: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.</w:t>
            </w:r>
          </w:p>
          <w:p w:rsidR="00F04DD0" w:rsidRPr="002465AD" w:rsidRDefault="002465AD" w:rsidP="002465AD">
            <w:pPr>
              <w:numPr>
                <w:ilvl w:val="0"/>
                <w:numId w:val="3"/>
              </w:numPr>
              <w:suppressAutoHyphens/>
              <w:spacing w:after="0"/>
              <w:rPr>
                <w:sz w:val="20"/>
                <w:szCs w:val="20"/>
                <w:lang w:val="en-US"/>
              </w:rPr>
            </w:pPr>
            <w:r w:rsidRPr="00866A5C">
              <w:rPr>
                <w:rFonts w:eastAsia="Times New Roman"/>
                <w:sz w:val="20"/>
                <w:szCs w:val="20"/>
                <w:lang w:val="en-US" w:eastAsia="pl-PL"/>
              </w:rPr>
              <w:t>Final test.</w:t>
            </w:r>
          </w:p>
        </w:tc>
      </w:tr>
      <w:tr w:rsidR="00F04DD0" w:rsidRPr="002465AD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2465AD" w:rsidRDefault="00F04DD0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  <w:r w:rsidR="002465AD">
              <w:rPr>
                <w:rFonts w:ascii="Calibri Light" w:hAnsi="Calibri Light" w:cs="Times"/>
                <w:b/>
                <w:lang w:val="en-US"/>
              </w:rPr>
              <w:t xml:space="preserve">: </w:t>
            </w:r>
            <w:r w:rsidR="002465AD">
              <w:rPr>
                <w:rFonts w:ascii="Calibri Light" w:hAnsi="Calibri Light" w:cs="Calibri Light"/>
                <w:b/>
                <w:lang w:val="en-US"/>
              </w:rPr>
              <w:t>not applicable</w:t>
            </w:r>
            <w:r w:rsidR="002465AD">
              <w:rPr>
                <w:rFonts w:ascii="Calibri Light" w:hAnsi="Calibri Light" w:cs="Times"/>
                <w:lang w:val="en-US"/>
              </w:rPr>
              <w:t>.</w:t>
            </w: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2465AD" w:rsidRDefault="00F04DD0" w:rsidP="002465A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Cs/>
                <w:lang w:val="en-US"/>
              </w:rPr>
              <w:t>1.</w:t>
            </w:r>
            <w:r w:rsidR="002465AD">
              <w:rPr>
                <w:rFonts w:ascii="Calibri Light" w:hAnsi="Calibri Light" w:cs="Times"/>
                <w:bCs/>
                <w:lang w:val="en-US"/>
              </w:rPr>
              <w:t xml:space="preserve"> Oxford Handbook of Accident and Emergency Medicine, II Edition 2005, Oxford</w:t>
            </w:r>
          </w:p>
          <w:p w:rsidR="002465AD" w:rsidRDefault="002465AD" w:rsidP="002465A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2. Handbook of First Aid and Emergency Care, Revised Edition.  AMA ,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Leikin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JB, Feldman BJ. Random House, USA, 2000.</w:t>
            </w:r>
          </w:p>
          <w:p w:rsidR="002465AD" w:rsidRDefault="002465AD" w:rsidP="002465AD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F04DD0" w:rsidRPr="003C37B4" w:rsidRDefault="002465AD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1.ERC 2015 Guidelines for Adult Basic Life support and </w:t>
            </w:r>
            <w:proofErr w:type="spellStart"/>
            <w:r>
              <w:rPr>
                <w:rFonts w:ascii="Calibri Light" w:hAnsi="Calibri Light" w:cs="Times"/>
                <w:bCs/>
                <w:lang w:val="en-US"/>
              </w:rPr>
              <w:t>Paediatric</w:t>
            </w:r>
            <w:proofErr w:type="spellEnd"/>
            <w:r>
              <w:rPr>
                <w:rFonts w:ascii="Calibri Light" w:hAnsi="Calibri Light" w:cs="Times"/>
                <w:bCs/>
                <w:lang w:val="en-US"/>
              </w:rPr>
              <w:t xml:space="preserve"> Basic Life support.</w:t>
            </w: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F04DD0" w:rsidRPr="003C37B4" w:rsidRDefault="00F04DD0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F04DD0" w:rsidRPr="003C37B4" w:rsidRDefault="00F04DD0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Pr="003C37B4" w:rsidRDefault="00F04DD0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465AD" w:rsidRPr="002465AD" w:rsidRDefault="002465AD" w:rsidP="002465AD">
            <w:pPr>
              <w:pStyle w:val="HTML-wstpniesformatowany"/>
              <w:rPr>
                <w:rFonts w:asciiTheme="minorHAnsi" w:hAnsiTheme="minorHAnsi" w:cstheme="minorHAnsi"/>
                <w:lang w:val="en-GB"/>
              </w:rPr>
            </w:pPr>
            <w:r w:rsidRPr="002465AD">
              <w:rPr>
                <w:rFonts w:asciiTheme="minorHAnsi" w:hAnsiTheme="minorHAnsi" w:cstheme="minorHAnsi"/>
                <w:lang w:val="en"/>
              </w:rPr>
              <w:t>Basic knowledge of anatomy and physiology</w:t>
            </w:r>
          </w:p>
          <w:p w:rsidR="00F04DD0" w:rsidRPr="002465AD" w:rsidRDefault="00F04DD0" w:rsidP="00BA2B32">
            <w:pPr>
              <w:spacing w:after="0"/>
              <w:rPr>
                <w:rFonts w:ascii="Calibri Light" w:hAnsi="Calibri Light"/>
                <w:lang w:val="en-GB"/>
              </w:rPr>
            </w:pPr>
          </w:p>
          <w:p w:rsidR="00F04DD0" w:rsidRPr="003C37B4" w:rsidRDefault="00F04DD0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04DD0" w:rsidRPr="00F36A3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04DD0" w:rsidRDefault="00F04DD0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F04DD0" w:rsidRPr="003C37B4" w:rsidRDefault="00F04DD0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2465AD" w:rsidRPr="00F36A3C" w:rsidRDefault="00F36A3C" w:rsidP="00F36A3C">
            <w:pPr>
              <w:pStyle w:val="HTML-wstpniesformatowany"/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</w:pPr>
            <w:r w:rsidRPr="00F36A3C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>The condition of passing the subject is obtaining credits for all didactic classes .</w:t>
            </w:r>
            <w:r w:rsidR="002465AD" w:rsidRPr="00F36A3C">
              <w:rPr>
                <w:rFonts w:asciiTheme="minorHAnsi" w:hAnsiTheme="minorHAnsi" w:cstheme="minorHAnsi"/>
                <w:b/>
                <w:sz w:val="22"/>
                <w:szCs w:val="22"/>
                <w:lang w:val="en"/>
              </w:rPr>
              <w:t xml:space="preserve"> In the case of an excused absence - the student is obligated to make up the classes after prior agreement with the teaching adjunct. Each absence must be made up, including rector days and dean's hours - the way and form of doing the classes after prior arrangement with a teaching adjunct. </w:t>
            </w:r>
          </w:p>
          <w:p w:rsidR="002465AD" w:rsidRPr="00F36A3C" w:rsidRDefault="002465AD" w:rsidP="00246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GB" w:eastAsia="pl-PL"/>
              </w:rPr>
            </w:pPr>
            <w:r w:rsidRPr="00F36A3C">
              <w:rPr>
                <w:rFonts w:asciiTheme="minorHAnsi" w:eastAsia="Times New Roman" w:hAnsiTheme="minorHAnsi" w:cstheme="minorHAnsi"/>
                <w:b/>
                <w:lang w:val="en" w:eastAsia="pl-PL"/>
              </w:rPr>
              <w:t>Admission to credit - passing practical skills.</w:t>
            </w:r>
          </w:p>
          <w:p w:rsidR="002465AD" w:rsidRPr="00F36A3C" w:rsidRDefault="002465AD" w:rsidP="002465AD">
            <w:pPr>
              <w:spacing w:after="0"/>
              <w:jc w:val="both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F36A3C">
              <w:rPr>
                <w:rFonts w:asciiTheme="minorHAnsi" w:hAnsiTheme="minorHAnsi" w:cstheme="minorHAnsi"/>
                <w:b/>
                <w:lang w:val="en"/>
              </w:rPr>
              <w:br/>
              <w:t>Completion of classes - written test.</w:t>
            </w:r>
          </w:p>
          <w:p w:rsidR="00F04DD0" w:rsidRPr="003C37B4" w:rsidRDefault="00F04DD0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F04DD0" w:rsidRPr="00F36A3C">
        <w:trPr>
          <w:trHeight w:val="708"/>
        </w:trPr>
        <w:tc>
          <w:tcPr>
            <w:tcW w:w="9640" w:type="dxa"/>
            <w:gridSpan w:val="22"/>
          </w:tcPr>
          <w:p w:rsidR="00F04DD0" w:rsidRPr="003C37B4" w:rsidRDefault="00F04DD0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04DD0" w:rsidRPr="00F36A3C">
        <w:tc>
          <w:tcPr>
            <w:tcW w:w="1815" w:type="dxa"/>
            <w:gridSpan w:val="3"/>
          </w:tcPr>
          <w:p w:rsidR="00F04DD0" w:rsidRPr="003C37B4" w:rsidRDefault="00F04DD0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F04DD0" w:rsidRPr="003C37B4" w:rsidRDefault="00F04DD0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F04DD0" w:rsidRPr="00C60314">
        <w:tc>
          <w:tcPr>
            <w:tcW w:w="1815" w:type="dxa"/>
            <w:gridSpan w:val="3"/>
          </w:tcPr>
          <w:p w:rsidR="00F04DD0" w:rsidRPr="003C37B4" w:rsidRDefault="00F04DD0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4DD0" w:rsidRPr="00C60314">
        <w:tc>
          <w:tcPr>
            <w:tcW w:w="1815" w:type="dxa"/>
            <w:gridSpan w:val="3"/>
          </w:tcPr>
          <w:p w:rsidR="00F04DD0" w:rsidRPr="003C37B4" w:rsidRDefault="00F04DD0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4DD0" w:rsidRPr="00C60314">
        <w:tc>
          <w:tcPr>
            <w:tcW w:w="1815" w:type="dxa"/>
            <w:gridSpan w:val="3"/>
          </w:tcPr>
          <w:p w:rsidR="00F04DD0" w:rsidRPr="003C37B4" w:rsidRDefault="00F04DD0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4DD0" w:rsidRPr="00C60314">
        <w:tc>
          <w:tcPr>
            <w:tcW w:w="1815" w:type="dxa"/>
            <w:gridSpan w:val="3"/>
          </w:tcPr>
          <w:p w:rsidR="00F04DD0" w:rsidRPr="003C37B4" w:rsidRDefault="00F04DD0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4DD0" w:rsidRPr="00C60314">
        <w:trPr>
          <w:trHeight w:val="309"/>
        </w:trPr>
        <w:tc>
          <w:tcPr>
            <w:tcW w:w="1815" w:type="dxa"/>
            <w:gridSpan w:val="3"/>
          </w:tcPr>
          <w:p w:rsidR="00F04DD0" w:rsidRPr="003C37B4" w:rsidRDefault="00F04DD0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F04DD0" w:rsidRPr="003C37B4" w:rsidRDefault="00F04DD0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04DD0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4DD0" w:rsidRPr="003C37B4" w:rsidRDefault="00F04DD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F04DD0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4DD0" w:rsidRPr="003C37B4" w:rsidRDefault="00F04DD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F04DD0" w:rsidRPr="003C37B4" w:rsidRDefault="00F04DD0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B255FA" w:rsidRDefault="00B255FA" w:rsidP="00B255FA">
            <w:pPr>
              <w:autoSpaceDE w:val="0"/>
              <w:rPr>
                <w:rFonts w:cs="Times"/>
                <w:b/>
                <w:lang w:val="en-US"/>
              </w:rPr>
            </w:pPr>
            <w:r>
              <w:rPr>
                <w:rFonts w:cs="Times"/>
                <w:lang w:val="en-US"/>
              </w:rPr>
              <w:t xml:space="preserve">...Chair and I Clinic of </w:t>
            </w:r>
            <w:proofErr w:type="spellStart"/>
            <w:r>
              <w:rPr>
                <w:rFonts w:cs="Times"/>
                <w:lang w:val="en-US"/>
              </w:rPr>
              <w:t>Anaesthesilogy</w:t>
            </w:r>
            <w:proofErr w:type="spellEnd"/>
            <w:r>
              <w:rPr>
                <w:rFonts w:cs="Times"/>
                <w:lang w:val="en-US"/>
              </w:rPr>
              <w:t xml:space="preserve"> and Intensive Therapy, </w:t>
            </w:r>
            <w:proofErr w:type="spellStart"/>
            <w:r>
              <w:rPr>
                <w:rFonts w:cs="Times"/>
                <w:lang w:val="en-US"/>
              </w:rPr>
              <w:t>Borowska</w:t>
            </w:r>
            <w:proofErr w:type="spellEnd"/>
            <w:r>
              <w:rPr>
                <w:rFonts w:cs="Times"/>
                <w:lang w:val="en-US"/>
              </w:rPr>
              <w:t xml:space="preserve"> 213 Street. Tel.717332310, kai@umed.wroc.pl</w:t>
            </w:r>
          </w:p>
          <w:p w:rsidR="00B255FA" w:rsidRDefault="00B255FA" w:rsidP="00B255FA">
            <w:pPr>
              <w:autoSpaceDE w:val="0"/>
              <w:spacing w:after="0" w:line="360" w:lineRule="auto"/>
              <w:rPr>
                <w:rFonts w:cs="Calibri"/>
                <w:lang w:val="en-US"/>
              </w:rPr>
            </w:pPr>
            <w:r>
              <w:rPr>
                <w:rFonts w:cs="Times"/>
                <w:b/>
                <w:lang w:val="en-US"/>
              </w:rPr>
              <w:t>Coordinator / Person responsible for module/course, c</w:t>
            </w:r>
            <w:r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255FA" w:rsidRDefault="00B255FA" w:rsidP="00B255FA">
            <w:pPr>
              <w:autoSpaceDE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……………</w:t>
            </w:r>
            <w:proofErr w:type="spellStart"/>
            <w:r>
              <w:rPr>
                <w:rFonts w:cs="Calibri"/>
                <w:lang w:val="en-US"/>
              </w:rPr>
              <w:t>Waldemar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Goździk</w:t>
            </w:r>
            <w:proofErr w:type="spellEnd"/>
            <w:r>
              <w:rPr>
                <w:rFonts w:cs="Calibri"/>
                <w:lang w:val="en-US"/>
              </w:rPr>
              <w:t xml:space="preserve"> MD, </w:t>
            </w:r>
            <w:proofErr w:type="spellStart"/>
            <w:r>
              <w:rPr>
                <w:rFonts w:cs="Calibri"/>
                <w:lang w:val="en-US"/>
              </w:rPr>
              <w:t>Ph.D</w:t>
            </w:r>
            <w:proofErr w:type="spellEnd"/>
            <w:r>
              <w:rPr>
                <w:rFonts w:cs="Calibri"/>
                <w:lang w:val="en-US"/>
              </w:rPr>
              <w:t>, prof.</w:t>
            </w:r>
          </w:p>
          <w:p w:rsidR="00B255FA" w:rsidRDefault="00B255FA" w:rsidP="00B255FA">
            <w:pPr>
              <w:autoSpaceDE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>
              <w:rPr>
                <w:rFonts w:cs="Times"/>
                <w:bCs/>
                <w:lang w:val="en-U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2"/>
              <w:gridCol w:w="1812"/>
              <w:gridCol w:w="1812"/>
            </w:tblGrid>
            <w:tr w:rsidR="00B255FA" w:rsidRPr="00415F65" w:rsidTr="00B20501"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Full name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Degree/scientific or professional title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Discipline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Performed profession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Form of classes</w:t>
                  </w:r>
                </w:p>
              </w:tc>
            </w:tr>
            <w:tr w:rsidR="00B255FA" w:rsidRPr="00415F65" w:rsidTr="00B20501"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 xml:space="preserve">Magdalena </w:t>
                  </w:r>
                  <w:proofErr w:type="spellStart"/>
                  <w:r w:rsidRPr="00415F65">
                    <w:rPr>
                      <w:rFonts w:cs="Calibri"/>
                      <w:lang w:val="en-US"/>
                    </w:rPr>
                    <w:t>Kośmider</w:t>
                  </w:r>
                  <w:proofErr w:type="spellEnd"/>
                  <w:r w:rsidRPr="00415F65">
                    <w:rPr>
                      <w:rFonts w:cs="Calibri"/>
                      <w:lang w:val="en-US"/>
                    </w:rPr>
                    <w:t xml:space="preserve"> -</w:t>
                  </w:r>
                  <w:proofErr w:type="spellStart"/>
                  <w:r w:rsidRPr="00415F65">
                    <w:rPr>
                      <w:rFonts w:cs="Calibri"/>
                      <w:lang w:val="en-US"/>
                    </w:rPr>
                    <w:t>Żurawska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jc w:val="center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CSC</w:t>
                  </w:r>
                  <w:r>
                    <w:rPr>
                      <w:rFonts w:cs="Calibri"/>
                      <w:lang w:val="en-US"/>
                    </w:rPr>
                    <w:t>, SE</w:t>
                  </w:r>
                </w:p>
              </w:tc>
            </w:tr>
            <w:tr w:rsidR="00B255FA" w:rsidRPr="00415F65" w:rsidTr="00B20501"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 xml:space="preserve">Marek </w:t>
                  </w:r>
                  <w:proofErr w:type="spellStart"/>
                  <w:r w:rsidRPr="00415F65">
                    <w:rPr>
                      <w:rFonts w:cs="Calibri"/>
                      <w:lang w:val="en-US"/>
                    </w:rPr>
                    <w:t>Wełna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jc w:val="center"/>
                    <w:rPr>
                      <w:rFonts w:cs="Calibri"/>
                      <w:lang w:val="en-US"/>
                    </w:rPr>
                  </w:pPr>
                  <w:proofErr w:type="spellStart"/>
                  <w:r w:rsidRPr="00415F65">
                    <w:rPr>
                      <w:rFonts w:cs="Calibri"/>
                      <w:lang w:val="en-US"/>
                    </w:rPr>
                    <w:t>Ph.D</w:t>
                  </w:r>
                  <w:proofErr w:type="spellEnd"/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CSC</w:t>
                  </w:r>
                  <w:r>
                    <w:rPr>
                      <w:rFonts w:cs="Calibri"/>
                      <w:lang w:val="en-US"/>
                    </w:rPr>
                    <w:t>, SE</w:t>
                  </w:r>
                </w:p>
              </w:tc>
            </w:tr>
            <w:tr w:rsidR="00B255FA" w:rsidRPr="00415F65" w:rsidTr="00B20501"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 xml:space="preserve">Tomasz </w:t>
                  </w:r>
                  <w:proofErr w:type="spellStart"/>
                  <w:r w:rsidRPr="00415F65">
                    <w:rPr>
                      <w:rFonts w:cs="Calibri"/>
                      <w:lang w:val="en-US"/>
                    </w:rPr>
                    <w:t>Skalec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jc w:val="center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color w:val="303030"/>
                      <w:lang w:val="en-US"/>
                    </w:rPr>
                    <w:t>Ph.D. candidate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Medicine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MD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B255FA" w:rsidRPr="00415F65" w:rsidRDefault="00B255FA" w:rsidP="00B20501">
                  <w:pPr>
                    <w:autoSpaceDE w:val="0"/>
                    <w:rPr>
                      <w:rFonts w:cs="Calibri"/>
                      <w:lang w:val="en-US"/>
                    </w:rPr>
                  </w:pPr>
                  <w:r w:rsidRPr="00415F65">
                    <w:rPr>
                      <w:rFonts w:cs="Calibri"/>
                      <w:lang w:val="en-US"/>
                    </w:rPr>
                    <w:t>CSC</w:t>
                  </w:r>
                  <w:r>
                    <w:rPr>
                      <w:rFonts w:cs="Calibri"/>
                      <w:lang w:val="en-US"/>
                    </w:rPr>
                    <w:t>, SE</w:t>
                  </w:r>
                </w:p>
              </w:tc>
            </w:tr>
          </w:tbl>
          <w:p w:rsidR="00B255FA" w:rsidRDefault="00B255FA" w:rsidP="00B255FA">
            <w:pPr>
              <w:autoSpaceDE w:val="0"/>
              <w:rPr>
                <w:rFonts w:cs="Calibri"/>
                <w:lang w:val="en-US"/>
              </w:rPr>
            </w:pPr>
          </w:p>
          <w:p w:rsidR="00F04DD0" w:rsidRPr="003C37B4" w:rsidRDefault="00F04DD0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  <w:p w:rsidR="00F04DD0" w:rsidRPr="003C37B4" w:rsidRDefault="00F04DD0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F04DD0" w:rsidRPr="003C37B4">
              <w:tc>
                <w:tcPr>
                  <w:tcW w:w="4705" w:type="dxa"/>
                  <w:vAlign w:val="center"/>
                </w:tcPr>
                <w:p w:rsidR="00F04DD0" w:rsidRPr="003C37B4" w:rsidRDefault="00F04DD0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F04DD0" w:rsidRPr="003C37B4" w:rsidRDefault="00F04DD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F04DD0" w:rsidRPr="003C37B4">
              <w:tc>
                <w:tcPr>
                  <w:tcW w:w="4705" w:type="dxa"/>
                  <w:vAlign w:val="bottom"/>
                </w:tcPr>
                <w:p w:rsidR="00F04DD0" w:rsidRPr="003C37B4" w:rsidRDefault="00B255F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29.06.2020</w:t>
                  </w:r>
                </w:p>
                <w:p w:rsidR="00F04DD0" w:rsidRPr="003C37B4" w:rsidRDefault="00F04DD0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F04DD0" w:rsidRPr="00B255FA" w:rsidRDefault="00B255FA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B255FA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Barbara Barteczko-Grajek MD, </w:t>
                  </w:r>
                  <w:proofErr w:type="spellStart"/>
                  <w:r w:rsidRPr="00B255FA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Ph.D</w:t>
                  </w:r>
                  <w:proofErr w:type="spellEnd"/>
                  <w:r w:rsidR="00F04DD0" w:rsidRPr="00B255FA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……...........................................</w:t>
                  </w:r>
                </w:p>
              </w:tc>
            </w:tr>
            <w:tr w:rsidR="00F04DD0" w:rsidRPr="00F36A3C">
              <w:tc>
                <w:tcPr>
                  <w:tcW w:w="9072" w:type="dxa"/>
                  <w:gridSpan w:val="2"/>
                  <w:vAlign w:val="center"/>
                </w:tcPr>
                <w:p w:rsidR="00F04DD0" w:rsidRPr="00B255FA" w:rsidRDefault="00F04DD0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F04DD0" w:rsidRPr="003C37B4" w:rsidRDefault="00F04DD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F04DD0" w:rsidRPr="003C37B4">
              <w:tc>
                <w:tcPr>
                  <w:tcW w:w="9072" w:type="dxa"/>
                  <w:gridSpan w:val="2"/>
                  <w:vAlign w:val="center"/>
                </w:tcPr>
                <w:p w:rsidR="00F04DD0" w:rsidRPr="003C37B4" w:rsidRDefault="00F04DD0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F04DD0" w:rsidRPr="003C37B4" w:rsidRDefault="00F04DD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3C37B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</w:t>
                  </w:r>
                </w:p>
              </w:tc>
            </w:tr>
          </w:tbl>
          <w:p w:rsidR="00F04DD0" w:rsidRPr="003C37B4" w:rsidRDefault="00F04DD0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F04DD0" w:rsidRPr="003C37B4" w:rsidRDefault="00F04DD0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F04DD0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4DD0" w:rsidRPr="003C37B4" w:rsidRDefault="00F04DD0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F04DD0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F04DD0" w:rsidRPr="003C37B4" w:rsidRDefault="00F04DD0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F04DD0" w:rsidRPr="003C37B4" w:rsidRDefault="00F04DD0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20" w:rsidRDefault="00BA4C20" w:rsidP="00420C0C">
      <w:pPr>
        <w:spacing w:after="0" w:line="240" w:lineRule="auto"/>
      </w:pPr>
      <w:r>
        <w:separator/>
      </w:r>
    </w:p>
  </w:endnote>
  <w:endnote w:type="continuationSeparator" w:id="0">
    <w:p w:rsidR="00BA4C20" w:rsidRDefault="00BA4C2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20" w:rsidRDefault="00BA4C20" w:rsidP="00420C0C">
      <w:pPr>
        <w:spacing w:after="0" w:line="240" w:lineRule="auto"/>
      </w:pPr>
      <w:r>
        <w:separator/>
      </w:r>
    </w:p>
  </w:footnote>
  <w:footnote w:type="continuationSeparator" w:id="0">
    <w:p w:rsidR="00BA4C20" w:rsidRDefault="00BA4C2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B1723"/>
    <w:multiLevelType w:val="hybridMultilevel"/>
    <w:tmpl w:val="BB7AC00E"/>
    <w:lvl w:ilvl="0" w:tplc="24621458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C0"/>
    <w:multiLevelType w:val="hybridMultilevel"/>
    <w:tmpl w:val="8ED2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251"/>
    <w:multiLevelType w:val="hybridMultilevel"/>
    <w:tmpl w:val="060A1CD6"/>
    <w:lvl w:ilvl="0" w:tplc="D1ECDFA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D3D50"/>
    <w:rsid w:val="001F2073"/>
    <w:rsid w:val="00221BC5"/>
    <w:rsid w:val="002273F7"/>
    <w:rsid w:val="00235044"/>
    <w:rsid w:val="002400E2"/>
    <w:rsid w:val="00240614"/>
    <w:rsid w:val="002465AD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C37B4"/>
    <w:rsid w:val="003C5D50"/>
    <w:rsid w:val="003D495E"/>
    <w:rsid w:val="00420C0C"/>
    <w:rsid w:val="00425A06"/>
    <w:rsid w:val="004430C2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14F54"/>
    <w:rsid w:val="00721D97"/>
    <w:rsid w:val="00726E37"/>
    <w:rsid w:val="00727C06"/>
    <w:rsid w:val="0078543A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255FA"/>
    <w:rsid w:val="00B52E51"/>
    <w:rsid w:val="00B6026F"/>
    <w:rsid w:val="00B61163"/>
    <w:rsid w:val="00B80080"/>
    <w:rsid w:val="00BA2B32"/>
    <w:rsid w:val="00BA4C20"/>
    <w:rsid w:val="00BA66BB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6773A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04DD0"/>
    <w:rsid w:val="00F36A3C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92EF7705-E462-4927-855C-A5E5CC4D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alt-edited1">
    <w:name w:val="alt-edited1"/>
    <w:rsid w:val="00F04DD0"/>
    <w:rPr>
      <w:color w:val="4D90F0"/>
    </w:rPr>
  </w:style>
  <w:style w:type="character" w:customStyle="1" w:styleId="shorttext">
    <w:name w:val="short_text"/>
    <w:rsid w:val="00F04DD0"/>
  </w:style>
  <w:style w:type="paragraph" w:styleId="Akapitzlist">
    <w:name w:val="List Paragraph"/>
    <w:basedOn w:val="Normalny"/>
    <w:uiPriority w:val="34"/>
    <w:qFormat/>
    <w:rsid w:val="002465A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65A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2020-06-30T13:02:00Z</dcterms:created>
  <dcterms:modified xsi:type="dcterms:W3CDTF">2020-06-30T13:02:00Z</dcterms:modified>
</cp:coreProperties>
</file>