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2977"/>
      </w:tblGrid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483AD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2018-19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E23E9B" w:rsidRDefault="00984632" w:rsidP="00C60314">
            <w:pPr>
              <w:jc w:val="center"/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r w:rsidRPr="00E23E9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645CFA">
        <w:trPr>
          <w:gridAfter w:val="1"/>
          <w:wAfter w:w="2977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6E1C08" w:rsidRDefault="00D15DCD" w:rsidP="004E2AB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984632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4E2AB8" w:rsidRPr="00C60314" w:rsidRDefault="004E2AB8" w:rsidP="004E2AB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1984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984632" w:rsidRPr="00984632" w:rsidRDefault="004E2AB8" w:rsidP="00984632">
            <w:pPr>
              <w:rPr>
                <w:b/>
                <w:lang w:val="en-US" w:eastAsia="pl-PL"/>
              </w:rPr>
            </w:pPr>
            <w:r>
              <w:rPr>
                <w:b/>
                <w:lang w:val="en-US" w:eastAsia="pl-PL"/>
              </w:rPr>
              <w:t>VI - Clinical surgical sciences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</w:t>
            </w:r>
            <w:r w:rsidR="00256959">
              <w:rPr>
                <w:rFonts w:ascii="Calibri Light" w:hAnsi="Calibri Light"/>
                <w:lang w:val="en-US"/>
              </w:rPr>
              <w:t>istry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984632" w:rsidRDefault="0098463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98463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C60314" w:rsidRDefault="0098463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C60314" w:rsidRDefault="0098463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 xml:space="preserve">X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major</w:t>
            </w:r>
            <w:r w:rsidR="00DE53AE">
              <w:rPr>
                <w:rFonts w:ascii="Calibri Light" w:hAnsi="Calibri Light"/>
                <w:lang w:val="en-US"/>
              </w:rPr>
              <w:t xml:space="preserve">  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C60314" w:rsidRDefault="006E1C08" w:rsidP="009846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84632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84632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256959">
        <w:trPr>
          <w:gridAfter w:val="1"/>
          <w:wAfter w:w="2977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256959">
        <w:trPr>
          <w:gridAfter w:val="1"/>
          <w:wAfter w:w="2977" w:type="dxa"/>
          <w:trHeight w:val="522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  <w:trHeight w:val="410"/>
        </w:trPr>
        <w:tc>
          <w:tcPr>
            <w:tcW w:w="9469" w:type="dxa"/>
            <w:gridSpan w:val="22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256959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0E4F38" w:rsidRPr="00C60314" w:rsidRDefault="0098463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Department of Maxillofacial Surgery</w:t>
            </w:r>
          </w:p>
        </w:tc>
        <w:tc>
          <w:tcPr>
            <w:tcW w:w="425" w:type="dxa"/>
          </w:tcPr>
          <w:p w:rsidR="000E4F38" w:rsidRPr="00256959" w:rsidRDefault="0098463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0E4F38" w:rsidRPr="00256959" w:rsidRDefault="00984632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256959">
        <w:trPr>
          <w:gridAfter w:val="1"/>
          <w:wAfter w:w="2977" w:type="dxa"/>
          <w:trHeight w:val="546"/>
        </w:trPr>
        <w:tc>
          <w:tcPr>
            <w:tcW w:w="9469" w:type="dxa"/>
            <w:gridSpan w:val="22"/>
          </w:tcPr>
          <w:p w:rsidR="00256959" w:rsidRPr="00C60314" w:rsidRDefault="00256959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2A46CA" w:rsidRPr="00C60314" w:rsidTr="00D236CE">
        <w:trPr>
          <w:gridAfter w:val="1"/>
          <w:wAfter w:w="2977" w:type="dxa"/>
          <w:trHeight w:val="546"/>
        </w:trPr>
        <w:tc>
          <w:tcPr>
            <w:tcW w:w="1815" w:type="dxa"/>
            <w:gridSpan w:val="3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46CA" w:rsidRPr="00256959" w:rsidRDefault="002A46C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46CA" w:rsidRPr="00C60314" w:rsidRDefault="002A46C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984632" w:rsidRPr="00984632">
              <w:rPr>
                <w:rFonts w:ascii="Calibri Light" w:hAnsi="Calibri Light"/>
                <w:lang w:val="en-US"/>
              </w:rPr>
              <w:t xml:space="preserve">Introduction to </w:t>
            </w:r>
            <w:r w:rsidR="00984632">
              <w:rPr>
                <w:rFonts w:ascii="Calibri Light" w:hAnsi="Calibri Light"/>
                <w:lang w:val="en-US"/>
              </w:rPr>
              <w:t xml:space="preserve">the </w:t>
            </w:r>
            <w:r w:rsidR="00984632" w:rsidRPr="00984632">
              <w:rPr>
                <w:rFonts w:ascii="Calibri Light" w:hAnsi="Calibri Light"/>
                <w:lang w:val="en-US"/>
              </w:rPr>
              <w:t>maxillofacial surgery</w:t>
            </w:r>
            <w:r w:rsidR="00984632">
              <w:rPr>
                <w:rFonts w:ascii="Calibri Light" w:hAnsi="Calibri Light"/>
                <w:lang w:val="en-US"/>
              </w:rPr>
              <w:t xml:space="preserve"> main branches: traumatology, oncology, orthognathic surgery.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221877" w:rsidRPr="00221877">
              <w:rPr>
                <w:rFonts w:ascii="Calibri Light" w:hAnsi="Calibri Light"/>
                <w:lang w:val="en-US"/>
              </w:rPr>
              <w:t>Studying basic diagnostic (including differential diagnosis) and treatment modalities in head and neck diseases and disord</w:t>
            </w:r>
            <w:r w:rsidR="00221877">
              <w:rPr>
                <w:rFonts w:ascii="Calibri Light" w:hAnsi="Calibri Light"/>
                <w:lang w:val="en-US"/>
              </w:rPr>
              <w:t>ers. Studying basics of treatme</w:t>
            </w:r>
            <w:r w:rsidR="00221877" w:rsidRPr="00221877">
              <w:rPr>
                <w:rFonts w:ascii="Calibri Light" w:hAnsi="Calibri Light"/>
                <w:lang w:val="en-US"/>
              </w:rPr>
              <w:t>nt planning and postoperative care in maxillofacial surgery. Learning about head and neck cancer prevention.</w:t>
            </w:r>
          </w:p>
          <w:p w:rsidR="00BA2B32" w:rsidRPr="00C60314" w:rsidRDefault="00EF0D47" w:rsidP="0025695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Pr="00221877">
              <w:rPr>
                <w:rFonts w:ascii="Calibri Light" w:hAnsi="Calibri Light"/>
                <w:lang w:val="en-US"/>
              </w:rPr>
              <w:t xml:space="preserve"> </w:t>
            </w:r>
            <w:r w:rsidR="00221877" w:rsidRPr="00221877">
              <w:rPr>
                <w:rFonts w:ascii="Calibri Light" w:hAnsi="Calibri Light"/>
                <w:lang w:val="en-US"/>
              </w:rPr>
              <w:t>Acquiring basic skills in first aid in case of injuries of the face and facial fractures.</w:t>
            </w:r>
          </w:p>
        </w:tc>
      </w:tr>
      <w:tr w:rsidR="00EF0D47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 the most common diseases in the field of face and neck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 treatment</w:t>
            </w:r>
            <w:r w:rsidR="00512E6F"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describes the most common complications</w:t>
            </w:r>
          </w:p>
          <w:p w:rsidR="00B1688E" w:rsidRPr="00256959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  <w:r w:rsidR="00512E6F"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</w:p>
          <w:p w:rsidR="00BA2B32" w:rsidRPr="00B1688E" w:rsidRDefault="00B1688E" w:rsidP="00B168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understands the principles of prevention (especially cancer prevention)</w:t>
            </w:r>
          </w:p>
        </w:tc>
        <w:tc>
          <w:tcPr>
            <w:tcW w:w="1985" w:type="dxa"/>
            <w:gridSpan w:val="5"/>
          </w:tcPr>
          <w:p w:rsidR="00BA2B32" w:rsidRPr="00256959" w:rsidRDefault="00060C43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L, </w:t>
            </w:r>
            <w:r w:rsidR="00060C43"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 anamnesis and basic medical examination in MFS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:rsidR="006F465E" w:rsidRPr="00256959" w:rsidRDefault="006F465E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appropriate diagnostic tools</w:t>
            </w:r>
          </w:p>
          <w:p w:rsidR="006F465E" w:rsidRPr="00256959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:rsidR="00BA2B32" w:rsidRPr="006F465E" w:rsidRDefault="00A236DF" w:rsidP="006F465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dressing 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change and </w:t>
            </w:r>
            <w:r w:rsidR="006F465E" w:rsidRPr="00256959">
              <w:rPr>
                <w:rFonts w:ascii="Calibri Light" w:hAnsi="Calibri Light"/>
                <w:sz w:val="20"/>
                <w:szCs w:val="20"/>
                <w:lang w:val="en-US"/>
              </w:rPr>
              <w:t>stitches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removal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BA2B3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>ractical tests of: anamnesis, medical examination and correct medical history writing.</w:t>
            </w:r>
          </w:p>
        </w:tc>
        <w:tc>
          <w:tcPr>
            <w:tcW w:w="1417" w:type="dxa"/>
            <w:gridSpan w:val="4"/>
          </w:tcPr>
          <w:p w:rsidR="00BA2B32" w:rsidRPr="00C60314" w:rsidRDefault="00A236D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60314" w:rsidTr="00256959">
        <w:trPr>
          <w:gridAfter w:val="1"/>
          <w:wAfter w:w="2977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B1688E" w:rsidRDefault="00B1688E" w:rsidP="00B1688E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BA2B32" w:rsidRPr="00C60314" w:rsidRDefault="00B1688E" w:rsidP="00B1688E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:rsidR="00A236DF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:rsidR="00BA2B32" w:rsidRPr="00256959" w:rsidRDefault="00A236DF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</w:t>
            </w:r>
            <w:r w:rsidR="00933BEA" w:rsidRPr="00256959">
              <w:rPr>
                <w:rFonts w:ascii="Calibri Light" w:hAnsi="Calibri Light"/>
                <w:sz w:val="20"/>
                <w:szCs w:val="20"/>
                <w:lang w:val="en-US"/>
              </w:rPr>
              <w:t>patients, hospital staff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colleagues with respect </w:t>
            </w:r>
          </w:p>
          <w:p w:rsidR="00A236DF" w:rsidRPr="00256959" w:rsidRDefault="00933BEA" w:rsidP="00A236D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 w:rsidR="00BB6CFA"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="00A236DF"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1985" w:type="dxa"/>
            <w:gridSpan w:val="5"/>
          </w:tcPr>
          <w:p w:rsidR="00BA2B32" w:rsidRPr="00256959" w:rsidRDefault="00933BEA" w:rsidP="00A236D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417" w:type="dxa"/>
            <w:gridSpan w:val="4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0E4F38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56959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56959" w:rsidRPr="00C60314" w:rsidRDefault="0025695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lastRenderedPageBreak/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256959" w:rsidRPr="00C60314" w:rsidRDefault="00256959" w:rsidP="00271D8F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933BEA">
              <w:rPr>
                <w:rFonts w:ascii="Calibri Light" w:hAnsi="Calibri Light"/>
                <w:lang w:val="en-US"/>
              </w:rPr>
              <w:t xml:space="preserve">: </w:t>
            </w:r>
            <w:r w:rsidR="00645CFA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933BEA">
              <w:rPr>
                <w:rFonts w:ascii="Calibri Light" w:hAnsi="Calibri Light"/>
                <w:lang w:val="en-US"/>
              </w:rPr>
              <w:t>: 3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933BE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Craniofacial abnormalities – etiology, symptoms and treatment</w:t>
            </w:r>
          </w:p>
          <w:p w:rsidR="00595E75" w:rsidRDefault="00595E75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Head and neck surgical oncology – treatment modalities</w:t>
            </w:r>
          </w:p>
          <w:p w:rsidR="00595E75" w:rsidRDefault="00595E75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Distraction osteogenesis in the facial skeleton</w:t>
            </w:r>
          </w:p>
          <w:p w:rsidR="00595E75" w:rsidRDefault="00595E75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Cysts of the jaw bones: classification, diagnosis and treatment</w:t>
            </w:r>
          </w:p>
          <w:p w:rsidR="00BA2B32" w:rsidRPr="00595E75" w:rsidRDefault="00595E75" w:rsidP="00595E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595E75">
              <w:rPr>
                <w:rFonts w:ascii="Calibri Light" w:hAnsi="Calibri Light"/>
                <w:lang w:val="en-US"/>
              </w:rPr>
              <w:t>Preprosthetic</w:t>
            </w:r>
            <w:proofErr w:type="spellEnd"/>
            <w:r w:rsidRPr="00595E75">
              <w:rPr>
                <w:rFonts w:ascii="Calibri Light" w:hAnsi="Calibri Light"/>
                <w:lang w:val="en-US"/>
              </w:rPr>
              <w:t xml:space="preserve"> surgery and </w:t>
            </w:r>
            <w:proofErr w:type="spellStart"/>
            <w:r w:rsidRPr="00595E75">
              <w:rPr>
                <w:rFonts w:ascii="Calibri Light" w:hAnsi="Calibri Light"/>
                <w:lang w:val="en-US"/>
              </w:rPr>
              <w:t>implantology</w:t>
            </w:r>
            <w:proofErr w:type="spellEnd"/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595E75" w:rsidRDefault="00933BEA" w:rsidP="00595E75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Introduction to maxillofacial surgery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Precancerous lesions of head and neck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 xml:space="preserve">Benign </w:t>
            </w:r>
            <w:proofErr w:type="spellStart"/>
            <w:r w:rsidRPr="00595E75">
              <w:rPr>
                <w:rFonts w:ascii="Calibri Light" w:hAnsi="Calibri Light"/>
                <w:lang w:val="en-US"/>
              </w:rPr>
              <w:t>tumours</w:t>
            </w:r>
            <w:proofErr w:type="spellEnd"/>
            <w:r w:rsidRPr="00595E75">
              <w:rPr>
                <w:rFonts w:ascii="Calibri Light" w:hAnsi="Calibri Light"/>
                <w:lang w:val="en-US"/>
              </w:rPr>
              <w:t xml:space="preserve"> of head and neck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 xml:space="preserve">Malignant </w:t>
            </w:r>
            <w:proofErr w:type="spellStart"/>
            <w:r w:rsidRPr="00595E75">
              <w:rPr>
                <w:rFonts w:ascii="Calibri Light" w:hAnsi="Calibri Light"/>
                <w:lang w:val="en-US"/>
              </w:rPr>
              <w:t>tumours</w:t>
            </w:r>
            <w:proofErr w:type="spellEnd"/>
            <w:r w:rsidRPr="00595E75">
              <w:rPr>
                <w:rFonts w:ascii="Calibri Light" w:hAnsi="Calibri Light"/>
                <w:lang w:val="en-US"/>
              </w:rPr>
              <w:t xml:space="preserve"> of head and neck</w:t>
            </w:r>
            <w:r>
              <w:rPr>
                <w:rFonts w:ascii="Calibri Light" w:hAnsi="Calibri Light"/>
                <w:lang w:val="en-US"/>
              </w:rPr>
              <w:t xml:space="preserve"> (2 classes)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(2 classes)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Cysts of facial bones and soft tissues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Non neoplastic lesions of facial bones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General management in facial trauma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Injuries of facial soft tissues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Conservative treatment of facial bones fractures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Mandibular fractures</w:t>
            </w:r>
          </w:p>
          <w:p w:rsidR="00595E75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Orbital fractures</w:t>
            </w:r>
          </w:p>
          <w:p w:rsidR="00BA2B32" w:rsidRPr="00595E75" w:rsidRDefault="00595E75" w:rsidP="00595E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Cs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Default="00595E7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595E75">
              <w:rPr>
                <w:rFonts w:ascii="Calibri Light" w:hAnsi="Calibri Light" w:cs="Times"/>
                <w:lang w:val="en-US"/>
              </w:rPr>
              <w:t>n/a</w:t>
            </w: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Default="00256959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</w:p>
          <w:p w:rsidR="00256959" w:rsidRPr="00595E75" w:rsidRDefault="00256959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783F70" w:rsidRDefault="00595E75" w:rsidP="00783F7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Principles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of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Oral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and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Maxillofacial</w:t>
            </w:r>
            <w:proofErr w:type="spellEnd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proofErr w:type="spellStart"/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Surgery</w:t>
            </w:r>
            <w:proofErr w:type="spellEnd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, 3rd </w:t>
            </w:r>
            <w:proofErr w:type="spellStart"/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>edition</w:t>
            </w:r>
            <w:proofErr w:type="spellEnd"/>
            <w:r w:rsidR="00783F70"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="00783F70"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Miloro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Ghali</w:t>
              </w:r>
              <w:proofErr w:type="spellEnd"/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 w:rsid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="00783F70"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 w:rsid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proofErr w:type="spellStart"/>
            <w:r w:rsidR="00783F70"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proofErr w:type="spellEnd"/>
            <w:r w:rsidR="00783F70">
              <w:rPr>
                <w:rFonts w:ascii="Calibri Light" w:hAnsi="Calibri Light" w:cs="Calibri Light"/>
                <w:bCs/>
                <w:lang w:val="en-US"/>
              </w:rPr>
              <w:t>.</w:t>
            </w:r>
            <w:r w:rsidR="00783F70"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</w:t>
              </w:r>
              <w:proofErr w:type="spellStart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Medical</w:t>
              </w:r>
              <w:proofErr w:type="spellEnd"/>
              <w:r w:rsidR="00783F70"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 xml:space="preserve"> Publishing House</w:t>
              </w:r>
            </w:hyperlink>
            <w:r w:rsidR="00783F70"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783F70" w:rsidRDefault="007C4E34" w:rsidP="00783F7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256959" w:rsidRDefault="00783F70" w:rsidP="00783F7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Jatin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Shah's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Head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Neck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Surgery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 and </w:t>
            </w:r>
            <w:proofErr w:type="spellStart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>Oncology</w:t>
            </w:r>
            <w:proofErr w:type="spellEnd"/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, 4th Edition.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Jatin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P. </w:t>
            </w:r>
            <w:proofErr w:type="spellStart"/>
            <w:r w:rsidRPr="00256959">
              <w:rPr>
                <w:rFonts w:ascii="Calibri Light" w:hAnsi="Calibri Light" w:cs="Calibri Light"/>
                <w:color w:val="000000"/>
              </w:rPr>
              <w:t>Shah</w:t>
            </w:r>
            <w:proofErr w:type="spellEnd"/>
            <w:r w:rsidRPr="00256959">
              <w:rPr>
                <w:rFonts w:ascii="Calibri Light" w:hAnsi="Calibri Light" w:cs="Calibri Light"/>
                <w:color w:val="000000"/>
              </w:rPr>
              <w:t xml:space="preserve"> et al. </w:t>
            </w:r>
            <w:proofErr w:type="spellStart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:rsidR="00953CEB" w:rsidRPr="002C4980" w:rsidRDefault="00223C78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</w:t>
            </w:r>
            <w:r w:rsidR="002C4980">
              <w:rPr>
                <w:rFonts w:ascii="Calibri Light" w:hAnsi="Calibri Light" w:cs="Times"/>
                <w:lang w:val="en-US"/>
              </w:rPr>
              <w:t>, pati</w:t>
            </w:r>
            <w:r w:rsidR="00256959">
              <w:rPr>
                <w:rFonts w:ascii="Calibri Light" w:hAnsi="Calibri Light" w:cs="Times"/>
                <w:lang w:val="en-US"/>
              </w:rPr>
              <w:t>ent rooms in the Department of Maxillofacial S</w:t>
            </w:r>
            <w:r w:rsidR="002C4980">
              <w:rPr>
                <w:rFonts w:ascii="Calibri Light" w:hAnsi="Calibri Light" w:cs="Times"/>
                <w:lang w:val="en-US"/>
              </w:rPr>
              <w:t>urgery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BA2B32" w:rsidRPr="002C4980" w:rsidRDefault="005B2DF3" w:rsidP="002C498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2C4980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>credit in dental surgery (3</w:t>
            </w:r>
            <w:r w:rsidR="002C4980"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 w:rsidR="002C4980"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BA2B32" w:rsidRPr="00C60314" w:rsidTr="00256959">
        <w:trPr>
          <w:gridAfter w:val="1"/>
          <w:wAfter w:w="2977" w:type="dxa"/>
        </w:trPr>
        <w:tc>
          <w:tcPr>
            <w:tcW w:w="9469" w:type="dxa"/>
            <w:gridSpan w:val="22"/>
          </w:tcPr>
          <w:p w:rsidR="002C4980" w:rsidRDefault="005B2DF3" w:rsidP="005B2DF3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2C4980"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:rsidR="0070216F" w:rsidRPr="002C4980" w:rsidRDefault="002C4980" w:rsidP="00BA2B32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anamnesis, medical examination and medical history writing)</w:t>
            </w:r>
          </w:p>
        </w:tc>
      </w:tr>
      <w:tr w:rsidR="00425A06" w:rsidRPr="00C60314" w:rsidTr="00256959">
        <w:trPr>
          <w:gridAfter w:val="1"/>
          <w:wAfter w:w="2977" w:type="dxa"/>
          <w:trHeight w:val="708"/>
        </w:trPr>
        <w:tc>
          <w:tcPr>
            <w:tcW w:w="9469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7C5F67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rPr>
          <w:gridAfter w:val="1"/>
          <w:wAfter w:w="2977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54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12157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  <w:p w:rsidR="00AA6B20" w:rsidRPr="00C96C63" w:rsidRDefault="00AA6B20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</w:p>
          <w:p w:rsidR="00C96C63" w:rsidRPr="00C96C63" w:rsidRDefault="00AA6B20" w:rsidP="00AA6B20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 w:rsidRPr="00C96C63">
              <w:t>Borowska</w:t>
            </w:r>
            <w:r w:rsidR="00C96C63" w:rsidRPr="00C96C63">
              <w:t xml:space="preserve"> str.</w:t>
            </w:r>
            <w:r w:rsidRPr="00C96C63">
              <w:t xml:space="preserve"> 213</w:t>
            </w:r>
            <w:r w:rsidR="00C96C63" w:rsidRPr="00C96C63">
              <w:t>, 50-556</w:t>
            </w:r>
            <w:r w:rsidRPr="00C96C63">
              <w:t xml:space="preserve"> Wrocław</w:t>
            </w:r>
          </w:p>
          <w:p w:rsidR="00AA6B20" w:rsidRPr="00C96C63" w:rsidRDefault="00AA6B20" w:rsidP="00C96C63">
            <w:pPr>
              <w:tabs>
                <w:tab w:val="left" w:pos="8789"/>
              </w:tabs>
              <w:autoSpaceDE w:val="0"/>
              <w:rPr>
                <w:lang w:val="en-US"/>
              </w:rPr>
            </w:pPr>
            <w:r w:rsidRPr="00C96C63">
              <w:rPr>
                <w:rFonts w:cs="Calibri"/>
              </w:rPr>
              <w:t xml:space="preserve"> </w:t>
            </w:r>
            <w:r w:rsidRPr="00C96C63">
              <w:rPr>
                <w:lang w:val="en-US"/>
              </w:rPr>
              <w:t>tel. 71 733 36 00</w:t>
            </w:r>
            <w:r w:rsidR="00C96C63" w:rsidRPr="00C96C63">
              <w:rPr>
                <w:lang w:val="en-US"/>
              </w:rPr>
              <w:t>,</w:t>
            </w:r>
            <w:r w:rsidRPr="00C96C63">
              <w:rPr>
                <w:lang w:val="en-US"/>
              </w:rPr>
              <w:t xml:space="preserve"> </w:t>
            </w:r>
            <w:hyperlink r:id="rId11" w:history="1">
              <w:r w:rsidR="00C96C63"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proofErr w:type="spellStart"/>
            <w:r w:rsidR="00C96C63" w:rsidRPr="00C96C63">
              <w:rPr>
                <w:rStyle w:val="Hipercze"/>
                <w:color w:val="auto"/>
                <w:u w:val="none"/>
              </w:rPr>
              <w:t>hanna.gerber@umed</w:t>
            </w:r>
            <w:proofErr w:type="spellEnd"/>
            <w:r w:rsidR="00C96C63" w:rsidRPr="00C96C63">
              <w:rPr>
                <w:rStyle w:val="Hipercze"/>
                <w:color w:val="auto"/>
                <w:u w:val="none"/>
              </w:rPr>
              <w:t>.</w:t>
            </w:r>
            <w:r w:rsidR="00C96C63"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  <w:p w:rsidR="00C96C63" w:rsidRPr="00C60314" w:rsidRDefault="00C96C6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mobile: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256959" w:rsidRDefault="00256959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645CFA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</w:p>
          <w:p w:rsidR="00425A06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Marcin Kubiak MD, DDS – assistant – L, CC 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Rafał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Nowak DDS, PhD – lecturer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Wojciech </w:t>
            </w:r>
            <w:proofErr w:type="spellStart"/>
            <w:r>
              <w:rPr>
                <w:rFonts w:cs="Times"/>
                <w:bCs/>
                <w:lang w:val="en-US"/>
              </w:rPr>
              <w:t>Pawlak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DDS, PhD – senior lecturer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Anna </w:t>
            </w:r>
            <w:proofErr w:type="spellStart"/>
            <w:r>
              <w:rPr>
                <w:rFonts w:cs="Times"/>
                <w:bCs/>
                <w:lang w:val="en-US"/>
              </w:rPr>
              <w:t>Olejnik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MD, DDS – assistant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Magdalena </w:t>
            </w:r>
            <w:proofErr w:type="spellStart"/>
            <w:r>
              <w:rPr>
                <w:rFonts w:cs="Times"/>
                <w:bCs/>
                <w:lang w:val="en-US"/>
              </w:rPr>
              <w:t>Laskowska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DDS – assistant – L, CC</w:t>
            </w:r>
          </w:p>
          <w:p w:rsidR="00562F00" w:rsidRDefault="00562F00" w:rsidP="00562F00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 MD – PhD student – L, CC</w:t>
            </w:r>
          </w:p>
          <w:p w:rsidR="00645CFA" w:rsidRDefault="00645CFA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645CFA" w:rsidRPr="00C96C63" w:rsidRDefault="00645CFA" w:rsidP="00425A06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 w:rsidR="00483AD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-0</w:t>
                  </w:r>
                  <w:r w:rsidR="00483AD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6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-</w:t>
                  </w:r>
                  <w:r w:rsidR="00483AD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7C5F67" w:rsidP="007C5F67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645CFA" w:rsidRDefault="00645CFA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DE53AE" w:rsidRDefault="00DE53AE" w:rsidP="00DE53AE">
                  <w:pPr>
                    <w:spacing w:after="0" w:line="360" w:lineRule="auto"/>
                    <w:jc w:val="center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56959" w:rsidRPr="00C60314" w:rsidRDefault="0025695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5F6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C5F67" w:rsidRDefault="007C5F6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256959" w:rsidRDefault="00256959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DE53AE" w:rsidRDefault="00DE53AE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25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085" w:type="dxa"/>
        </w:trPr>
        <w:tc>
          <w:tcPr>
            <w:tcW w:w="9072" w:type="dxa"/>
            <w:gridSpan w:val="20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55" w:rsidRDefault="000E6E55" w:rsidP="00420C0C">
      <w:pPr>
        <w:spacing w:after="0" w:line="240" w:lineRule="auto"/>
      </w:pPr>
      <w:r>
        <w:separator/>
      </w:r>
    </w:p>
  </w:endnote>
  <w:endnote w:type="continuationSeparator" w:id="0">
    <w:p w:rsidR="000E6E55" w:rsidRDefault="000E6E5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36923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36923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B36923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36923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36923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B36923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55" w:rsidRDefault="000E6E55" w:rsidP="00420C0C">
      <w:pPr>
        <w:spacing w:after="0" w:line="240" w:lineRule="auto"/>
      </w:pPr>
      <w:r>
        <w:separator/>
      </w:r>
    </w:p>
  </w:footnote>
  <w:footnote w:type="continuationSeparator" w:id="0">
    <w:p w:rsidR="000E6E55" w:rsidRDefault="000E6E5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A1D0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A1D0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4D"/>
    <w:multiLevelType w:val="hybridMultilevel"/>
    <w:tmpl w:val="31D2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8AE4C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85CF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83261"/>
    <w:multiLevelType w:val="hybridMultilevel"/>
    <w:tmpl w:val="80DAA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C141A"/>
    <w:multiLevelType w:val="hybridMultilevel"/>
    <w:tmpl w:val="BFBE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845F6"/>
    <w:multiLevelType w:val="hybridMultilevel"/>
    <w:tmpl w:val="6A4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0C43"/>
    <w:rsid w:val="00085BB8"/>
    <w:rsid w:val="000D4F73"/>
    <w:rsid w:val="000E4F38"/>
    <w:rsid w:val="000E6E55"/>
    <w:rsid w:val="00103639"/>
    <w:rsid w:val="00124B37"/>
    <w:rsid w:val="001338D8"/>
    <w:rsid w:val="00133964"/>
    <w:rsid w:val="00144B4A"/>
    <w:rsid w:val="0016512F"/>
    <w:rsid w:val="001A1D08"/>
    <w:rsid w:val="001D3D50"/>
    <w:rsid w:val="001F2073"/>
    <w:rsid w:val="00221877"/>
    <w:rsid w:val="00221BC5"/>
    <w:rsid w:val="00223C78"/>
    <w:rsid w:val="002273F7"/>
    <w:rsid w:val="00235044"/>
    <w:rsid w:val="002400E2"/>
    <w:rsid w:val="00240614"/>
    <w:rsid w:val="00256959"/>
    <w:rsid w:val="00257D49"/>
    <w:rsid w:val="00261E41"/>
    <w:rsid w:val="00271D8F"/>
    <w:rsid w:val="00276387"/>
    <w:rsid w:val="002813DF"/>
    <w:rsid w:val="00291ACC"/>
    <w:rsid w:val="002A2720"/>
    <w:rsid w:val="002A46CA"/>
    <w:rsid w:val="002B74A3"/>
    <w:rsid w:val="002C4980"/>
    <w:rsid w:val="002D3307"/>
    <w:rsid w:val="002E17EB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83AD2"/>
    <w:rsid w:val="004E2AB8"/>
    <w:rsid w:val="004F0142"/>
    <w:rsid w:val="004F272A"/>
    <w:rsid w:val="00512E6F"/>
    <w:rsid w:val="00535EE0"/>
    <w:rsid w:val="00562F00"/>
    <w:rsid w:val="00577C32"/>
    <w:rsid w:val="0059224E"/>
    <w:rsid w:val="00595E75"/>
    <w:rsid w:val="005B2DF3"/>
    <w:rsid w:val="005C013D"/>
    <w:rsid w:val="00630451"/>
    <w:rsid w:val="006408F3"/>
    <w:rsid w:val="00640A5C"/>
    <w:rsid w:val="00645CFA"/>
    <w:rsid w:val="00650E51"/>
    <w:rsid w:val="00680EB7"/>
    <w:rsid w:val="006A3C86"/>
    <w:rsid w:val="006B094C"/>
    <w:rsid w:val="006C5733"/>
    <w:rsid w:val="006C67B0"/>
    <w:rsid w:val="006E168B"/>
    <w:rsid w:val="006E18E2"/>
    <w:rsid w:val="006E1C08"/>
    <w:rsid w:val="006F465E"/>
    <w:rsid w:val="0070216F"/>
    <w:rsid w:val="00707AD0"/>
    <w:rsid w:val="00710C9A"/>
    <w:rsid w:val="00721D97"/>
    <w:rsid w:val="00726E37"/>
    <w:rsid w:val="00727C06"/>
    <w:rsid w:val="00783F70"/>
    <w:rsid w:val="007A1EE5"/>
    <w:rsid w:val="007B5FF3"/>
    <w:rsid w:val="007C4E34"/>
    <w:rsid w:val="007C5F67"/>
    <w:rsid w:val="007E3638"/>
    <w:rsid w:val="00830FAB"/>
    <w:rsid w:val="00857D66"/>
    <w:rsid w:val="008715BD"/>
    <w:rsid w:val="008720BC"/>
    <w:rsid w:val="008859E2"/>
    <w:rsid w:val="0089632E"/>
    <w:rsid w:val="008B6BA1"/>
    <w:rsid w:val="00924C9B"/>
    <w:rsid w:val="00933BEA"/>
    <w:rsid w:val="00941060"/>
    <w:rsid w:val="00946913"/>
    <w:rsid w:val="00953CEB"/>
    <w:rsid w:val="00960708"/>
    <w:rsid w:val="00984632"/>
    <w:rsid w:val="009A7B98"/>
    <w:rsid w:val="009D7BCA"/>
    <w:rsid w:val="009E74B2"/>
    <w:rsid w:val="00A236DF"/>
    <w:rsid w:val="00A30199"/>
    <w:rsid w:val="00A30398"/>
    <w:rsid w:val="00A57F9A"/>
    <w:rsid w:val="00AA6B20"/>
    <w:rsid w:val="00AB53ED"/>
    <w:rsid w:val="00AB689E"/>
    <w:rsid w:val="00AB6CE5"/>
    <w:rsid w:val="00AC7CD1"/>
    <w:rsid w:val="00AD5870"/>
    <w:rsid w:val="00B1688E"/>
    <w:rsid w:val="00B36923"/>
    <w:rsid w:val="00B52E51"/>
    <w:rsid w:val="00B6026F"/>
    <w:rsid w:val="00B61163"/>
    <w:rsid w:val="00B80080"/>
    <w:rsid w:val="00BA2B32"/>
    <w:rsid w:val="00BB6CFA"/>
    <w:rsid w:val="00BC502E"/>
    <w:rsid w:val="00BD1099"/>
    <w:rsid w:val="00BD1F78"/>
    <w:rsid w:val="00C12051"/>
    <w:rsid w:val="00C21E10"/>
    <w:rsid w:val="00C45D6A"/>
    <w:rsid w:val="00C60314"/>
    <w:rsid w:val="00C9016F"/>
    <w:rsid w:val="00C96C63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DE53AE"/>
    <w:rsid w:val="00E23E9B"/>
    <w:rsid w:val="00E303C6"/>
    <w:rsid w:val="00EA5F3E"/>
    <w:rsid w:val="00EB1CA3"/>
    <w:rsid w:val="00EB2B31"/>
    <w:rsid w:val="00EC552D"/>
    <w:rsid w:val="00ED0A01"/>
    <w:rsid w:val="00EF0D47"/>
    <w:rsid w:val="00F010B5"/>
    <w:rsid w:val="00F1096D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E7A7BB9-636E-4A4F-B2ED-C30929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8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168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3F70"/>
  </w:style>
  <w:style w:type="character" w:customStyle="1" w:styleId="author">
    <w:name w:val="author"/>
    <w:basedOn w:val="Domylnaczcionkaakapitu"/>
    <w:rsid w:val="00783F70"/>
  </w:style>
  <w:style w:type="character" w:styleId="Hipercze">
    <w:name w:val="Hyperlink"/>
    <w:basedOn w:val="Domylnaczcionkaakapitu"/>
    <w:uiPriority w:val="99"/>
    <w:unhideWhenUsed/>
    <w:rsid w:val="00783F70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783F70"/>
  </w:style>
  <w:style w:type="character" w:customStyle="1" w:styleId="a-declarative">
    <w:name w:val="a-declarative"/>
    <w:basedOn w:val="Domylnaczcionkaakapitu"/>
    <w:rsid w:val="00783F70"/>
  </w:style>
  <w:style w:type="character" w:customStyle="1" w:styleId="Nagwek1Znak">
    <w:name w:val="Nagłówek 1 Znak"/>
    <w:basedOn w:val="Domylnaczcionkaakapitu"/>
    <w:link w:val="Nagwek1"/>
    <w:uiPriority w:val="9"/>
    <w:rsid w:val="00783F7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okdepository.com/publishers/Peoples-Medical-Publishing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home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2018-07-18T10:27:00Z</dcterms:created>
  <dcterms:modified xsi:type="dcterms:W3CDTF">2018-07-18T10:27:00Z</dcterms:modified>
</cp:coreProperties>
</file>